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8FA5" w14:textId="77777777" w:rsidR="00AF1907" w:rsidRDefault="00890F7D" w:rsidP="00AF1907">
      <w:pPr>
        <w:pStyle w:val="Tytu"/>
        <w:rPr>
          <w:sz w:val="24"/>
          <w:szCs w:val="24"/>
        </w:rPr>
      </w:pPr>
      <w:r>
        <w:rPr>
          <w:sz w:val="24"/>
          <w:szCs w:val="24"/>
        </w:rPr>
        <w:t>UMOWA Nr:  PO/………/ 2021</w:t>
      </w:r>
      <w:r w:rsidR="00AF1907" w:rsidRPr="00942CCE">
        <w:rPr>
          <w:sz w:val="24"/>
          <w:szCs w:val="24"/>
        </w:rPr>
        <w:t>r.</w:t>
      </w:r>
    </w:p>
    <w:p w14:paraId="39D36E0E" w14:textId="77777777" w:rsidR="00AF1907" w:rsidRPr="005377C1" w:rsidRDefault="00AF1907" w:rsidP="00AF1907">
      <w:pPr>
        <w:pStyle w:val="Tytu"/>
        <w:rPr>
          <w:sz w:val="24"/>
          <w:szCs w:val="24"/>
        </w:rPr>
      </w:pPr>
    </w:p>
    <w:p w14:paraId="7F31E301" w14:textId="77777777" w:rsidR="00AF1907" w:rsidRPr="00942CCE" w:rsidRDefault="00AF1907" w:rsidP="00AF1907">
      <w:pPr>
        <w:jc w:val="center"/>
      </w:pPr>
      <w:r w:rsidRPr="00942CCE">
        <w:t xml:space="preserve">zawarta w dniu </w:t>
      </w:r>
      <w:r w:rsidR="00890F7D">
        <w:t>…………. 2021</w:t>
      </w:r>
      <w:r w:rsidR="00D32146">
        <w:t xml:space="preserve">r. </w:t>
      </w:r>
      <w:r w:rsidRPr="00942CCE">
        <w:t>w Kielcach</w:t>
      </w:r>
    </w:p>
    <w:p w14:paraId="37DE87FD" w14:textId="77777777" w:rsidR="00AF1907" w:rsidRDefault="00AF1907" w:rsidP="00AF1907">
      <w:pPr>
        <w:spacing w:line="360" w:lineRule="auto"/>
        <w:jc w:val="center"/>
      </w:pPr>
    </w:p>
    <w:p w14:paraId="6F13BAAA" w14:textId="77777777" w:rsidR="00AF1907" w:rsidRDefault="00AF1907" w:rsidP="00AF1907">
      <w:pPr>
        <w:pStyle w:val="Tekstpodstawowy"/>
        <w:spacing w:line="480" w:lineRule="auto"/>
        <w:rPr>
          <w:rFonts w:ascii="Arial" w:hAnsi="Arial" w:cs="Arial"/>
          <w:sz w:val="22"/>
          <w:szCs w:val="22"/>
        </w:rPr>
      </w:pPr>
      <w:r>
        <w:rPr>
          <w:rFonts w:ascii="Arial" w:hAnsi="Arial" w:cs="Arial"/>
          <w:sz w:val="22"/>
          <w:szCs w:val="22"/>
        </w:rPr>
        <w:t xml:space="preserve">Stronami umowy są: </w:t>
      </w:r>
    </w:p>
    <w:p w14:paraId="62ED1014" w14:textId="77777777" w:rsidR="00AF1907" w:rsidRDefault="00AF1907" w:rsidP="00AF1907">
      <w:pPr>
        <w:numPr>
          <w:ilvl w:val="0"/>
          <w:numId w:val="7"/>
        </w:numPr>
        <w:spacing w:line="360" w:lineRule="auto"/>
      </w:pPr>
      <w:r>
        <w:rPr>
          <w:b/>
        </w:rPr>
        <w:t xml:space="preserve">.......................................................................................................................................... </w:t>
      </w:r>
      <w:r>
        <w:rPr>
          <w:b/>
        </w:rPr>
        <w:br/>
        <w:t>..........................................................................................................................................</w:t>
      </w:r>
      <w:r>
        <w:t xml:space="preserve"> reprezentowany/a przez:</w:t>
      </w:r>
      <w:r>
        <w:br/>
        <w:t xml:space="preserve">a/ .................................................................................. </w:t>
      </w:r>
      <w:r>
        <w:br/>
        <w:t xml:space="preserve">b/ .................................................................................. </w:t>
      </w:r>
      <w:r>
        <w:br/>
        <w:t xml:space="preserve">Regon ......................,  NIP ........................................., </w:t>
      </w:r>
      <w:r>
        <w:br/>
        <w:t xml:space="preserve">zwany/a dalej </w:t>
      </w:r>
      <w:r>
        <w:rPr>
          <w:b/>
        </w:rPr>
        <w:t xml:space="preserve">Szkołą </w:t>
      </w:r>
    </w:p>
    <w:p w14:paraId="3B8EC714" w14:textId="77777777" w:rsidR="00AF1907" w:rsidRDefault="00AF1907" w:rsidP="00AF1907">
      <w:pPr>
        <w:numPr>
          <w:ilvl w:val="0"/>
          <w:numId w:val="7"/>
        </w:numPr>
        <w:tabs>
          <w:tab w:val="left" w:pos="8080"/>
          <w:tab w:val="left" w:pos="8222"/>
        </w:tabs>
        <w:spacing w:line="360" w:lineRule="auto"/>
        <w:rPr>
          <w:b/>
          <w:bCs/>
        </w:rPr>
      </w:pPr>
      <w:r>
        <w:rPr>
          <w:b/>
        </w:rPr>
        <w:t>............................................................................................................................................</w:t>
      </w:r>
      <w:r>
        <w:rPr>
          <w:b/>
        </w:rPr>
        <w:br/>
        <w:t>............................................................................................................................................</w:t>
      </w:r>
      <w:r>
        <w:br/>
        <w:t>reprezentowany/a przez:</w:t>
      </w:r>
      <w:r>
        <w:br/>
        <w:t xml:space="preserve">a/ ................................................................................. </w:t>
      </w:r>
      <w:r>
        <w:br/>
        <w:t xml:space="preserve">b/ ................................................................................. </w:t>
      </w:r>
      <w:r>
        <w:br/>
        <w:t xml:space="preserve">Regon ......................,  NIP ........................................, </w:t>
      </w:r>
      <w:r>
        <w:br/>
        <w:t xml:space="preserve">zwany/a dalej </w:t>
      </w:r>
      <w:r>
        <w:rPr>
          <w:b/>
        </w:rPr>
        <w:t>P</w:t>
      </w:r>
      <w:r>
        <w:rPr>
          <w:b/>
          <w:bCs/>
        </w:rPr>
        <w:t>JSMP</w:t>
      </w:r>
    </w:p>
    <w:p w14:paraId="6F780EBF" w14:textId="77777777" w:rsidR="0071497B" w:rsidRDefault="00EC0B19" w:rsidP="0071497B">
      <w:pPr>
        <w:numPr>
          <w:ilvl w:val="0"/>
          <w:numId w:val="7"/>
        </w:numPr>
        <w:jc w:val="both"/>
      </w:pPr>
      <w:r>
        <w:rPr>
          <w:b/>
        </w:rPr>
        <w:t>Wojewódzki Ośrodek</w:t>
      </w:r>
      <w:r w:rsidRPr="00EC0B19">
        <w:rPr>
          <w:b/>
        </w:rPr>
        <w:t xml:space="preserve"> Medycyny Pracy</w:t>
      </w:r>
      <w:r w:rsidRPr="00EC0B19">
        <w:t xml:space="preserve"> </w:t>
      </w:r>
      <w:r w:rsidRPr="00EC0B19">
        <w:rPr>
          <w:b/>
        </w:rPr>
        <w:t>w Kielcach</w:t>
      </w:r>
      <w:r w:rsidRPr="00EC0B19">
        <w:t xml:space="preserve"> z siedzibą w Kielcach, adres: </w:t>
      </w:r>
      <w:r w:rsidR="0071497B">
        <w:br/>
      </w:r>
      <w:r w:rsidRPr="00EC0B19">
        <w:t xml:space="preserve">25-663 Kielce, ul. Karola Olszewskiego 2A,  wpisany do Rejestru stowarzyszeń i innych organizacji społecznych i zawodowych, fundacji oraz publicznych zakładów opieki zdrowotnej prowadzonego przez Sąd rejonowy w Kielcach X Wydział Gospodarczy Krajowego Rejestru Sądowego pod numerem KRS 0000002545, posiadającym NIP </w:t>
      </w:r>
      <w:r w:rsidR="0071497B">
        <w:br/>
      </w:r>
      <w:r w:rsidRPr="00EC0B19">
        <w:t>959-14-16-799</w:t>
      </w:r>
      <w:r w:rsidRPr="00EC0B19">
        <w:br/>
      </w:r>
      <w:r>
        <w:br/>
        <w:t>reprezentowany przez:</w:t>
      </w:r>
      <w:r w:rsidR="0071497B">
        <w:t xml:space="preserve"> </w:t>
      </w:r>
      <w:r w:rsidR="00AF1907">
        <w:t>Dyrektora</w:t>
      </w:r>
      <w:r w:rsidR="0071497B">
        <w:t xml:space="preserve"> </w:t>
      </w:r>
      <w:r w:rsidR="00AF1907">
        <w:t>- lek. med. Annę Mikołajczyk</w:t>
      </w:r>
      <w:r w:rsidR="0071497B">
        <w:t xml:space="preserve"> </w:t>
      </w:r>
    </w:p>
    <w:p w14:paraId="6BDAB656" w14:textId="77777777" w:rsidR="00AF1907" w:rsidRPr="00EC0B19" w:rsidRDefault="0071497B" w:rsidP="0071497B">
      <w:pPr>
        <w:ind w:left="360"/>
        <w:jc w:val="both"/>
      </w:pPr>
      <w:r>
        <w:t>z</w:t>
      </w:r>
      <w:r w:rsidR="00AF1907">
        <w:t xml:space="preserve">wany dalej </w:t>
      </w:r>
      <w:r w:rsidR="00AF1907">
        <w:rPr>
          <w:b/>
        </w:rPr>
        <w:t>WOMP</w:t>
      </w:r>
    </w:p>
    <w:p w14:paraId="4091F24F" w14:textId="77777777" w:rsidR="00EC0B19" w:rsidRDefault="00EC0B19" w:rsidP="00EC0B19">
      <w:pPr>
        <w:ind w:left="360"/>
      </w:pPr>
    </w:p>
    <w:p w14:paraId="3A099E49" w14:textId="77777777" w:rsidR="00AF1907" w:rsidRDefault="00AF1907" w:rsidP="00AF1907">
      <w:pPr>
        <w:ind w:left="3540" w:firstLine="708"/>
        <w:rPr>
          <w:b/>
        </w:rPr>
      </w:pPr>
      <w:r>
        <w:rPr>
          <w:b/>
        </w:rPr>
        <w:t>§ 1</w:t>
      </w:r>
    </w:p>
    <w:p w14:paraId="1E0A2B57" w14:textId="77777777" w:rsidR="00AF1907" w:rsidRDefault="00AF1907" w:rsidP="008153A1">
      <w:pPr>
        <w:pStyle w:val="Akapitzlist"/>
        <w:numPr>
          <w:ilvl w:val="0"/>
          <w:numId w:val="10"/>
        </w:numPr>
        <w:jc w:val="both"/>
      </w:pPr>
      <w:r>
        <w:t>Przedmiotem umowy jest przeprowadzanie badań lekarskich</w:t>
      </w:r>
      <w:r w:rsidR="007B7E4C" w:rsidRPr="007B7E4C">
        <w:t xml:space="preserve"> kandydatów do szkół ponadpodstawowych lub wyższych i na kwalifikacyjne kursy zawodowe, uczniów i słuchaczy tych szkół, studentów, słuchaczy kwalifikacyjnych ku</w:t>
      </w:r>
      <w:r w:rsidR="007B7E4C">
        <w:t>rsów zawodowych oraz doktorantów</w:t>
      </w:r>
      <w:r w:rsidRPr="008153A1">
        <w:rPr>
          <w:sz w:val="23"/>
          <w:szCs w:val="23"/>
        </w:rPr>
        <w:t>, którzy w trakcie praktycznej nauki zawodu są narażeni na działanie czynników szkodliwych, uciążliwych lub niebezpiecznych dla zdrowia,</w:t>
      </w:r>
      <w:r>
        <w:t xml:space="preserve"> realizowanych ze środków finansowych zabezpieczonych przez Zarząd Województwa Święto</w:t>
      </w:r>
      <w:r w:rsidR="008153A1">
        <w:t xml:space="preserve">krzyskiego, a znajdujących się </w:t>
      </w:r>
      <w:r>
        <w:t>w dyspozycji WOMP oraz sposób ich rozliczania.</w:t>
      </w:r>
    </w:p>
    <w:p w14:paraId="072D73C3" w14:textId="77777777" w:rsidR="00AF1907" w:rsidRPr="00650A44" w:rsidRDefault="00AF1907" w:rsidP="00D07C6A">
      <w:pPr>
        <w:pStyle w:val="Akapitzlist"/>
        <w:numPr>
          <w:ilvl w:val="0"/>
          <w:numId w:val="10"/>
        </w:numPr>
        <w:jc w:val="both"/>
      </w:pPr>
      <w:r w:rsidRPr="00650A44">
        <w:t xml:space="preserve">Umową nie są objęci uczniowie zatrudnieni w charakterze pracowników młodocianych. </w:t>
      </w:r>
      <w:r w:rsidR="00D07C6A" w:rsidRPr="00650A44">
        <w:t>Pełnoletni kandydaci na kwalifikacyjne kursy zawodowe oraz pełnoletni słuchacze kwalifikacyjnych kursów zawodowych ponoszą koszty przeprowadzonych badań oceny możliwości pobierania nauki uwzględniającej stan zdrowia i zagrożenia występujące w miejscu nauki.</w:t>
      </w:r>
    </w:p>
    <w:p w14:paraId="75BEBA6E" w14:textId="77777777" w:rsidR="00AF1907" w:rsidRDefault="008153A1" w:rsidP="008153A1">
      <w:pPr>
        <w:pStyle w:val="Akapitzlist"/>
        <w:numPr>
          <w:ilvl w:val="0"/>
          <w:numId w:val="10"/>
        </w:numPr>
        <w:jc w:val="both"/>
      </w:pPr>
      <w:r>
        <w:t>B</w:t>
      </w:r>
      <w:r w:rsidR="00AF1907">
        <w:t>adania lekarskie, o których mowa w ust. 1 realizowane są zgodnie z przepisami:</w:t>
      </w:r>
    </w:p>
    <w:p w14:paraId="5D827028" w14:textId="77777777" w:rsidR="00AF1907" w:rsidRPr="0005243E" w:rsidRDefault="00AF1907" w:rsidP="00EC0B19">
      <w:pPr>
        <w:numPr>
          <w:ilvl w:val="1"/>
          <w:numId w:val="10"/>
        </w:numPr>
        <w:jc w:val="both"/>
        <w:rPr>
          <w:color w:val="000000" w:themeColor="text1"/>
        </w:rPr>
      </w:pPr>
      <w:r w:rsidRPr="00C3594C">
        <w:rPr>
          <w:bCs/>
        </w:rPr>
        <w:t>ustawy z dnia 15 kwietnia 2011r. o działalności leczniczej</w:t>
      </w:r>
      <w:r w:rsidR="00C1352F" w:rsidRPr="00C1352F">
        <w:rPr>
          <w:color w:val="000000" w:themeColor="text1"/>
        </w:rPr>
        <w:t xml:space="preserve"> (</w:t>
      </w:r>
      <w:proofErr w:type="spellStart"/>
      <w:r w:rsidR="00C1352F" w:rsidRPr="00C1352F">
        <w:rPr>
          <w:color w:val="000000" w:themeColor="text1"/>
        </w:rPr>
        <w:t>t.j</w:t>
      </w:r>
      <w:proofErr w:type="spellEnd"/>
      <w:r w:rsidR="00C1352F" w:rsidRPr="00C1352F">
        <w:rPr>
          <w:color w:val="000000" w:themeColor="text1"/>
        </w:rPr>
        <w:t>. Dz. U. z 2021 r. poz. 711).</w:t>
      </w:r>
    </w:p>
    <w:p w14:paraId="43479804" w14:textId="77777777" w:rsidR="00902528" w:rsidRDefault="006B430D" w:rsidP="006B430D">
      <w:pPr>
        <w:pStyle w:val="Akapitzlist"/>
        <w:numPr>
          <w:ilvl w:val="1"/>
          <w:numId w:val="10"/>
        </w:numPr>
        <w:jc w:val="both"/>
        <w:rPr>
          <w:rStyle w:val="h2"/>
          <w:rFonts w:ascii="Arial" w:hAnsi="Arial" w:cs="Arial"/>
        </w:rPr>
      </w:pPr>
      <w:r w:rsidRPr="006B430D">
        <w:rPr>
          <w:rStyle w:val="h2"/>
          <w:rFonts w:ascii="Arial" w:hAnsi="Arial" w:cs="Arial"/>
        </w:rPr>
        <w:t>rozporządzenia Ministra Zdrowia z dnia 26 sierpnia 2019 r. w sprawie badań lekarskich kandydatów do szkół ponadpodstawowych lub wyższych i na kwalifikacyjne kursy zawodowe, uczniów i słuchaczy tych szkół, studentów, słuchaczy kwalifikacyjnych kursów zawodowych oraz doktorantów (Dz. U.</w:t>
      </w:r>
      <w:r w:rsidR="0071497B">
        <w:rPr>
          <w:rStyle w:val="h2"/>
          <w:rFonts w:ascii="Arial" w:hAnsi="Arial" w:cs="Arial"/>
        </w:rPr>
        <w:t xml:space="preserve"> </w:t>
      </w:r>
    </w:p>
    <w:p w14:paraId="7015A750" w14:textId="06356640" w:rsidR="00AF1907" w:rsidRPr="006B430D" w:rsidRDefault="0071497B" w:rsidP="00902528">
      <w:pPr>
        <w:pStyle w:val="Akapitzlist"/>
        <w:ind w:left="1440"/>
        <w:jc w:val="both"/>
        <w:rPr>
          <w:rStyle w:val="h2"/>
          <w:rFonts w:ascii="Arial" w:hAnsi="Arial" w:cs="Arial"/>
        </w:rPr>
      </w:pPr>
      <w:r>
        <w:rPr>
          <w:rStyle w:val="h2"/>
          <w:rFonts w:ascii="Arial" w:hAnsi="Arial" w:cs="Arial"/>
        </w:rPr>
        <w:lastRenderedPageBreak/>
        <w:t>z 2019</w:t>
      </w:r>
      <w:r w:rsidR="00073A17">
        <w:rPr>
          <w:rStyle w:val="h2"/>
          <w:rFonts w:ascii="Arial" w:hAnsi="Arial" w:cs="Arial"/>
        </w:rPr>
        <w:t xml:space="preserve"> </w:t>
      </w:r>
      <w:r>
        <w:rPr>
          <w:rStyle w:val="h2"/>
          <w:rFonts w:ascii="Arial" w:hAnsi="Arial" w:cs="Arial"/>
        </w:rPr>
        <w:t>r.</w:t>
      </w:r>
      <w:r w:rsidR="006B430D" w:rsidRPr="006B430D">
        <w:rPr>
          <w:rStyle w:val="h2"/>
          <w:rFonts w:ascii="Arial" w:hAnsi="Arial" w:cs="Arial"/>
        </w:rPr>
        <w:t xml:space="preserve"> poz. 1651).</w:t>
      </w:r>
    </w:p>
    <w:p w14:paraId="09C0A0C7" w14:textId="2162D745" w:rsidR="006B430D" w:rsidRPr="006B430D" w:rsidRDefault="006B430D" w:rsidP="006B430D">
      <w:pPr>
        <w:pStyle w:val="Akapitzlist"/>
        <w:numPr>
          <w:ilvl w:val="1"/>
          <w:numId w:val="10"/>
        </w:numPr>
        <w:jc w:val="both"/>
      </w:pPr>
      <w:r w:rsidRPr="006B430D">
        <w:t xml:space="preserve">rozporządzenia Ministra Zdrowia i Opieki Społecznej z dnia 30 maja 1996 r. </w:t>
      </w:r>
      <w:r w:rsidR="0088244D">
        <w:t xml:space="preserve">   </w:t>
      </w:r>
      <w:r w:rsidR="00902528">
        <w:t xml:space="preserve">   </w:t>
      </w:r>
      <w:r w:rsidRPr="006B430D">
        <w:t>w sprawie przeprowadzenia badań lekarskich pracowników, zakresu profilaktycznej opieki zdrowotnej nad pracownikami oraz orzeczeń lekarskich wydawanych do celów przewidzianych w Kodeksie pracy (</w:t>
      </w:r>
      <w:proofErr w:type="spellStart"/>
      <w:r w:rsidRPr="006B430D">
        <w:t>t.j</w:t>
      </w:r>
      <w:proofErr w:type="spellEnd"/>
      <w:r w:rsidRPr="006B430D">
        <w:t>. Dz. U. z 2016 r. poz. 2067).</w:t>
      </w:r>
    </w:p>
    <w:p w14:paraId="3DE49762" w14:textId="77777777" w:rsidR="006B430D" w:rsidRDefault="006B430D" w:rsidP="006B430D">
      <w:pPr>
        <w:numPr>
          <w:ilvl w:val="1"/>
          <w:numId w:val="10"/>
        </w:numPr>
        <w:jc w:val="both"/>
      </w:pPr>
      <w:r>
        <w:t>ustawy</w:t>
      </w:r>
      <w:r w:rsidRPr="006B430D">
        <w:t xml:space="preserve"> z dnia 27 czerwca 1997 r. o służbie medycyny pracy (</w:t>
      </w:r>
      <w:proofErr w:type="spellStart"/>
      <w:r w:rsidRPr="006B430D">
        <w:t>t.j</w:t>
      </w:r>
      <w:proofErr w:type="spellEnd"/>
      <w:r w:rsidRPr="006B430D">
        <w:t>. Dz. U. z 2019 r. poz. 1175 z późn. zm.).</w:t>
      </w:r>
    </w:p>
    <w:p w14:paraId="05906113" w14:textId="77777777" w:rsidR="00AF1907" w:rsidRDefault="00AF1907" w:rsidP="008153A1">
      <w:pPr>
        <w:numPr>
          <w:ilvl w:val="1"/>
          <w:numId w:val="10"/>
        </w:numPr>
        <w:jc w:val="both"/>
      </w:pPr>
      <w:r>
        <w:t>innymi przepisami prawa.</w:t>
      </w:r>
    </w:p>
    <w:p w14:paraId="0DF2C832" w14:textId="77777777" w:rsidR="00073A17" w:rsidRPr="000C1263" w:rsidRDefault="00073A17" w:rsidP="00073A17">
      <w:pPr>
        <w:pStyle w:val="Akapitzlist"/>
        <w:numPr>
          <w:ilvl w:val="0"/>
          <w:numId w:val="10"/>
        </w:numPr>
        <w:jc w:val="both"/>
      </w:pPr>
      <w:r w:rsidRPr="000C1263">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5F6D7B1" w14:textId="2D9E3525" w:rsidR="00073A17" w:rsidRPr="000C1263" w:rsidRDefault="00073A17" w:rsidP="00073A17">
      <w:pPr>
        <w:pStyle w:val="Akapitzlist"/>
        <w:numPr>
          <w:ilvl w:val="0"/>
          <w:numId w:val="10"/>
        </w:numPr>
        <w:jc w:val="both"/>
      </w:pPr>
      <w:r w:rsidRPr="000C1263">
        <w:t>Każda ze Stron oświadcza, że osoby działające w ich imieniu i na ich rzecz,</w:t>
      </w:r>
      <w:r w:rsidR="0088244D">
        <w:t xml:space="preserve">                        </w:t>
      </w:r>
      <w:r w:rsidRPr="000C1263">
        <w:t xml:space="preserve">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 oraz zostały zobowiązane do zachowania ich poufności, integralności i dostępności.</w:t>
      </w:r>
    </w:p>
    <w:p w14:paraId="59BD7D9C" w14:textId="77777777" w:rsidR="00073A17" w:rsidRPr="000C1263" w:rsidRDefault="00073A17" w:rsidP="00073A17">
      <w:pPr>
        <w:pStyle w:val="Akapitzlist"/>
        <w:numPr>
          <w:ilvl w:val="0"/>
          <w:numId w:val="10"/>
        </w:numPr>
        <w:jc w:val="both"/>
      </w:pPr>
      <w:r w:rsidRPr="000C1263">
        <w:t>W związku z zawarciem i realizacją Umowy Strony jako samodzielni administratorzy danych w rozumieniu art. 4 pkt. 7 RODO udostępniają sobie nawzajem dane osobowe:</w:t>
      </w:r>
    </w:p>
    <w:p w14:paraId="5588C17B" w14:textId="77777777" w:rsidR="00073A17" w:rsidRPr="000C1263" w:rsidRDefault="00073A17" w:rsidP="00073A17">
      <w:pPr>
        <w:pStyle w:val="Akapitzlist"/>
        <w:numPr>
          <w:ilvl w:val="1"/>
          <w:numId w:val="15"/>
        </w:numPr>
        <w:jc w:val="both"/>
      </w:pPr>
      <w:r w:rsidRPr="000C1263">
        <w:t>osób, o których mowa w §1 ust. 1 niniejszej Umowy,</w:t>
      </w:r>
    </w:p>
    <w:p w14:paraId="7A737687" w14:textId="77777777" w:rsidR="00073A17" w:rsidRPr="000C1263" w:rsidRDefault="00073A17" w:rsidP="00073A17">
      <w:pPr>
        <w:pStyle w:val="Akapitzlist"/>
        <w:numPr>
          <w:ilvl w:val="1"/>
          <w:numId w:val="15"/>
        </w:numPr>
        <w:jc w:val="both"/>
      </w:pPr>
      <w:r w:rsidRPr="000C1263">
        <w:t>osób kontaktowych: swoich przedstawicieli /pracowników/ współpracowników, tj. imię i nazwisko, numer telefonu kontaktowego, adres służbowej poczty elektronicznej wyłącznie w celu i w zakresie niezbędnym do jej poprawnej realizacji,</w:t>
      </w:r>
    </w:p>
    <w:p w14:paraId="3A9719FF" w14:textId="77777777" w:rsidR="00073A17" w:rsidRPr="000C1263" w:rsidRDefault="00073A17" w:rsidP="00073A17">
      <w:pPr>
        <w:pStyle w:val="Akapitzlist"/>
        <w:numPr>
          <w:ilvl w:val="1"/>
          <w:numId w:val="15"/>
        </w:numPr>
        <w:jc w:val="both"/>
      </w:pPr>
      <w:r w:rsidRPr="000C1263">
        <w:t xml:space="preserve">pracowników/współpracowników skierowanych do wykonywania zadania określonego w Umowie lub umowach uzupełniających, </w:t>
      </w:r>
    </w:p>
    <w:p w14:paraId="51CD1657" w14:textId="77777777" w:rsidR="00073A17" w:rsidRPr="000C1263" w:rsidRDefault="00073A17" w:rsidP="00073A17">
      <w:pPr>
        <w:pStyle w:val="Akapitzlist1"/>
        <w:spacing w:line="276" w:lineRule="auto"/>
        <w:ind w:left="349"/>
        <w:jc w:val="both"/>
        <w:rPr>
          <w:rFonts w:eastAsia="Times New Roman"/>
          <w:sz w:val="22"/>
          <w:szCs w:val="22"/>
          <w:lang w:val="pl-PL"/>
        </w:rPr>
      </w:pPr>
      <w:r w:rsidRPr="000C1263">
        <w:rPr>
          <w:rFonts w:eastAsia="Times New Roman"/>
          <w:sz w:val="22"/>
          <w:szCs w:val="22"/>
          <w:lang w:val="pl-PL"/>
        </w:rPr>
        <w:t>wyłącznie w celu i w zakresie niezbędnym do jej realizacji.</w:t>
      </w:r>
    </w:p>
    <w:p w14:paraId="43DEE51E" w14:textId="5C359DBC" w:rsidR="00073A17" w:rsidRPr="000C1263" w:rsidRDefault="00073A17" w:rsidP="00073A17">
      <w:pPr>
        <w:pStyle w:val="Akapitzlist"/>
        <w:numPr>
          <w:ilvl w:val="0"/>
          <w:numId w:val="10"/>
        </w:numPr>
        <w:jc w:val="both"/>
      </w:pPr>
      <w:r w:rsidRPr="000C1263">
        <w:t xml:space="preserve">Strony Umowy dopełniają, wymieniając się rolami, obowiązku informacyjnego, </w:t>
      </w:r>
      <w:r w:rsidR="0088244D">
        <w:t xml:space="preserve">                 </w:t>
      </w:r>
      <w:r w:rsidRPr="000C1263">
        <w:t>o którym mowa w art. 14 RODO wobec osób, o których mowa w ust. 3.</w:t>
      </w:r>
    </w:p>
    <w:p w14:paraId="6FF7AF94" w14:textId="0E17CAEF" w:rsidR="00073A17" w:rsidRPr="000C1263" w:rsidRDefault="00073A17" w:rsidP="00073A17">
      <w:pPr>
        <w:pStyle w:val="Akapitzlist"/>
        <w:numPr>
          <w:ilvl w:val="0"/>
          <w:numId w:val="10"/>
        </w:numPr>
        <w:jc w:val="both"/>
      </w:pPr>
      <w:r w:rsidRPr="000C1263">
        <w:t xml:space="preserve">Każda ze Stron zobowiązana jest na wezwanie drugiej Strony przedstawić pisemne potwierdzenie wypełnienia obowiązku informacyjnego, o którym mowa w ust. 4 </w:t>
      </w:r>
      <w:r w:rsidR="0088244D">
        <w:t xml:space="preserve">              </w:t>
      </w:r>
      <w:r w:rsidRPr="000C1263">
        <w:t>w terminie nie później niż do 7 dni od otrzymania wezwania. Wezwanie może zostać złożone pisemnie na adres korespondencyjny Strony lub za pośrednictwem adresu poczty elektronicznej wskazanego w §1 ust. niniejszej Umowy.</w:t>
      </w:r>
    </w:p>
    <w:p w14:paraId="560C0B78" w14:textId="480C9A7D" w:rsidR="00562305" w:rsidRPr="000C1263" w:rsidRDefault="00073A17" w:rsidP="00B11503">
      <w:pPr>
        <w:pStyle w:val="Akapitzlist"/>
        <w:numPr>
          <w:ilvl w:val="0"/>
          <w:numId w:val="10"/>
        </w:numPr>
        <w:jc w:val="both"/>
      </w:pPr>
      <w:r w:rsidRPr="000C1263">
        <w:t>W stosunku do osób występujących w komparycji umowy WOMP dopełnia obowiązku informacyjnego, o którym mowa w art. 13 ust. 1-2 RODO w oparciu o klauzulę informacyjną publikowaną pod adresem:</w:t>
      </w:r>
      <w:r w:rsidR="0088244D">
        <w:t xml:space="preserve"> </w:t>
      </w:r>
      <w:r w:rsidR="0088244D" w:rsidRPr="0088244D">
        <w:t>http://www.womp.com.pl/uploads/pliki/dzialy/RODO/Klauzula%20informacyjna_do%20umo%CC%81w.pdf</w:t>
      </w:r>
    </w:p>
    <w:p w14:paraId="695131F5" w14:textId="0580567B" w:rsidR="00073A17" w:rsidRPr="000C1263" w:rsidRDefault="00073A17" w:rsidP="00073A17">
      <w:pPr>
        <w:pStyle w:val="Akapitzlist"/>
        <w:numPr>
          <w:ilvl w:val="0"/>
          <w:numId w:val="10"/>
        </w:numPr>
        <w:jc w:val="both"/>
      </w:pPr>
      <w:r w:rsidRPr="000C1263">
        <w:t xml:space="preserve">W związku z realizacją Umowy, Strony mogą udostępnić sobie wzajemnie, w tym także swoim Podwykonawcom lub Dalszym Podwykonawcom również inne niż określone </w:t>
      </w:r>
      <w:r w:rsidR="0088244D">
        <w:t xml:space="preserve">      </w:t>
      </w:r>
      <w:r w:rsidRPr="000C1263">
        <w:t>w §1 ust. 6 niniejszej Umowy dane osobowe, o ile ich zakres i cel przetwarzania będzie niezbędny do realizacji konkretnej czynności lub procesu wynikającego z Umowy.</w:t>
      </w:r>
    </w:p>
    <w:p w14:paraId="098F9B80" w14:textId="76CCD4F0" w:rsidR="00073A17" w:rsidRPr="000C1263" w:rsidRDefault="00073A17" w:rsidP="00073A17">
      <w:pPr>
        <w:pStyle w:val="Akapitzlist"/>
        <w:numPr>
          <w:ilvl w:val="0"/>
          <w:numId w:val="10"/>
        </w:numPr>
        <w:jc w:val="both"/>
      </w:pPr>
      <w:r w:rsidRPr="000C1263">
        <w:t xml:space="preserve">W sytuacji konieczności udostępnienia danych osobowych do państwa trzeciego (poza Europejski Obszar Gospodarczy) Strony zobowiązują się wzajemnie informować </w:t>
      </w:r>
      <w:r w:rsidR="0088244D">
        <w:t xml:space="preserve">            </w:t>
      </w:r>
      <w:r w:rsidRPr="000C1263">
        <w:t>o planowanych działaniach w tym zakresie z odpowiednim wyprzedzeniem umożliwiającym ustalenie zasad udostępnienia. Zobowiązane dotyczy także przetwarzania danych osobowych na serwerach zlokalizowanych poza Europejskim Obszarem Gospodarczym.</w:t>
      </w:r>
    </w:p>
    <w:p w14:paraId="0BCAF2FE" w14:textId="7790F3B3" w:rsidR="00073A17" w:rsidRPr="000C1263" w:rsidRDefault="00073A17" w:rsidP="00073A17">
      <w:pPr>
        <w:pStyle w:val="Akapitzlist"/>
        <w:numPr>
          <w:ilvl w:val="0"/>
          <w:numId w:val="10"/>
        </w:numPr>
        <w:jc w:val="both"/>
      </w:pPr>
      <w:r w:rsidRPr="000C1263">
        <w:t>Za realizację zadań, o których mowa w art. 39 RODO z uwzględnieniem art. 38 ust. 6 RODO po stronie:</w:t>
      </w:r>
    </w:p>
    <w:p w14:paraId="1DB0190B" w14:textId="00604A15" w:rsidR="00073A17" w:rsidRPr="000C1263" w:rsidRDefault="00073A17" w:rsidP="00073A17">
      <w:pPr>
        <w:pStyle w:val="Akapitzlist"/>
        <w:numPr>
          <w:ilvl w:val="0"/>
          <w:numId w:val="16"/>
        </w:numPr>
        <w:jc w:val="both"/>
      </w:pPr>
      <w:r w:rsidRPr="000C1263">
        <w:lastRenderedPageBreak/>
        <w:t xml:space="preserve">WOMP odpowiada Inspektor Ochrony Danych – Tomasz Radziszewski, </w:t>
      </w:r>
      <w:r w:rsidRPr="000C1263">
        <w:br/>
        <w:t>e-mail: iod@5de.pl, tel.: +48 731 303 621;</w:t>
      </w:r>
    </w:p>
    <w:p w14:paraId="32B6DDFA" w14:textId="77777777" w:rsidR="00073A17" w:rsidRPr="000C1263" w:rsidRDefault="00073A17" w:rsidP="00073A17">
      <w:pPr>
        <w:pStyle w:val="Akapitzlist"/>
        <w:numPr>
          <w:ilvl w:val="0"/>
          <w:numId w:val="16"/>
        </w:numPr>
        <w:jc w:val="both"/>
      </w:pPr>
      <w:r w:rsidRPr="000C1263">
        <w:t xml:space="preserve">Szkoły odpowiada Inspektor Ochrony Danych – ……………………….., </w:t>
      </w:r>
      <w:r w:rsidRPr="000C1263">
        <w:br/>
        <w:t>e-mail: ………….., tel.: ……………………</w:t>
      </w:r>
    </w:p>
    <w:p w14:paraId="11493985" w14:textId="56B4E379" w:rsidR="0005243E" w:rsidRPr="000C1263" w:rsidRDefault="00073A17" w:rsidP="00073A17">
      <w:pPr>
        <w:pStyle w:val="Akapitzlist"/>
        <w:numPr>
          <w:ilvl w:val="0"/>
          <w:numId w:val="16"/>
        </w:numPr>
        <w:jc w:val="both"/>
      </w:pPr>
      <w:r w:rsidRPr="000C1263">
        <w:t>PJSMP odpowiada ………………….., e-mail: ........., tel. ...................................</w:t>
      </w:r>
      <w:r w:rsidR="00B458F2" w:rsidRPr="000C1263">
        <w:t>.</w:t>
      </w:r>
    </w:p>
    <w:p w14:paraId="413060AF" w14:textId="77777777" w:rsidR="00AF1907" w:rsidRDefault="00AF1907" w:rsidP="00AF1907">
      <w:pPr>
        <w:jc w:val="center"/>
        <w:rPr>
          <w:b/>
        </w:rPr>
      </w:pPr>
      <w:r>
        <w:rPr>
          <w:b/>
        </w:rPr>
        <w:t xml:space="preserve">§ 2 </w:t>
      </w:r>
    </w:p>
    <w:p w14:paraId="77F9EA58" w14:textId="77777777" w:rsidR="00AF1907" w:rsidRDefault="00AF1907" w:rsidP="00AF1907">
      <w:pPr>
        <w:numPr>
          <w:ilvl w:val="0"/>
          <w:numId w:val="8"/>
        </w:numPr>
        <w:ind w:left="552"/>
        <w:jc w:val="both"/>
        <w:rPr>
          <w:bCs/>
        </w:rPr>
      </w:pPr>
      <w:r>
        <w:t>Badania lekarskie stanowiące przedmiot umowy PJSMP zrealizuje:</w:t>
      </w:r>
    </w:p>
    <w:p w14:paraId="49A02AD4" w14:textId="77777777" w:rsidR="00AF1907" w:rsidRDefault="00AF1907" w:rsidP="00AF1907">
      <w:pPr>
        <w:jc w:val="both"/>
        <w:rPr>
          <w:bCs/>
        </w:rPr>
      </w:pPr>
    </w:p>
    <w:p w14:paraId="0091A26C" w14:textId="05C193A8" w:rsidR="00902528" w:rsidRDefault="00902528" w:rsidP="00902528">
      <w:pPr>
        <w:ind w:left="660"/>
        <w:jc w:val="both"/>
      </w:pPr>
      <w:r>
        <w:t>do 30 września 2021r. – dotyczy szkół ponadpodstawowych i kandydatów na kwalifikacyjne kursy zawodowe oraz słuchaczy tych kursów,</w:t>
      </w:r>
    </w:p>
    <w:p w14:paraId="6E10BDAF" w14:textId="77777777" w:rsidR="00902528" w:rsidRPr="00907BF6" w:rsidRDefault="00902528" w:rsidP="00902528">
      <w:pPr>
        <w:ind w:left="660"/>
        <w:jc w:val="both"/>
      </w:pPr>
      <w:r>
        <w:t>do 31 października 2021r. – dotyczy szkół wyższych.</w:t>
      </w:r>
    </w:p>
    <w:p w14:paraId="2097E068" w14:textId="1349C21D" w:rsidR="00AF1907" w:rsidRPr="009605EE" w:rsidRDefault="00AF1907" w:rsidP="00EC7893">
      <w:pPr>
        <w:autoSpaceDE w:val="0"/>
        <w:autoSpaceDN w:val="0"/>
        <w:adjustRightInd w:val="0"/>
        <w:ind w:left="491" w:hanging="491"/>
        <w:rPr>
          <w:color w:val="FF0000"/>
        </w:rPr>
      </w:pPr>
    </w:p>
    <w:p w14:paraId="7D88C401" w14:textId="77777777" w:rsidR="00EC7893" w:rsidRPr="006A5693" w:rsidRDefault="00EC7893" w:rsidP="00EC7893">
      <w:pPr>
        <w:autoSpaceDE w:val="0"/>
        <w:autoSpaceDN w:val="0"/>
        <w:adjustRightInd w:val="0"/>
        <w:ind w:left="491" w:hanging="491"/>
        <w:rPr>
          <w:sz w:val="23"/>
          <w:szCs w:val="23"/>
        </w:rPr>
      </w:pPr>
    </w:p>
    <w:p w14:paraId="02D44C7C" w14:textId="77777777" w:rsidR="00AF1907" w:rsidRDefault="00AF1907" w:rsidP="00AF1907">
      <w:pPr>
        <w:numPr>
          <w:ilvl w:val="0"/>
          <w:numId w:val="8"/>
        </w:numPr>
        <w:ind w:left="552"/>
        <w:jc w:val="both"/>
        <w:rPr>
          <w:bCs/>
        </w:rPr>
      </w:pPr>
      <w:r>
        <w:rPr>
          <w:bCs/>
        </w:rPr>
        <w:t>PJSMP oświadcza, że posiada aktualną umowę ubezpieczenia:</w:t>
      </w:r>
    </w:p>
    <w:p w14:paraId="2586D6BD" w14:textId="77777777" w:rsidR="00AF1907" w:rsidRDefault="00AF1907" w:rsidP="00AF1907">
      <w:pPr>
        <w:numPr>
          <w:ilvl w:val="1"/>
          <w:numId w:val="9"/>
        </w:numPr>
        <w:ind w:left="1134"/>
        <w:jc w:val="both"/>
        <w:rPr>
          <w:bCs/>
        </w:rPr>
      </w:pPr>
      <w:r>
        <w:rPr>
          <w:bCs/>
        </w:rPr>
        <w:t>odpowiedzialności cywilnej obejmującej szkody będące następstwem udzielania świadczeń zdrowotnych albo niezgodnego z prawem zaniechania udzielania świadczeń zdrowotnych,</w:t>
      </w:r>
    </w:p>
    <w:p w14:paraId="40E8D226" w14:textId="77777777" w:rsidR="00AF1907" w:rsidRPr="00EC7893" w:rsidRDefault="00AF1907" w:rsidP="00EC7893">
      <w:pPr>
        <w:numPr>
          <w:ilvl w:val="1"/>
          <w:numId w:val="9"/>
        </w:numPr>
        <w:ind w:left="1134"/>
        <w:jc w:val="both"/>
        <w:rPr>
          <w:bCs/>
        </w:rPr>
      </w:pPr>
      <w:r w:rsidRPr="00EC7893">
        <w:rPr>
          <w:bCs/>
        </w:rPr>
        <w:t xml:space="preserve">z tytułu zdarzeń medycznych określonych w przepisach </w:t>
      </w:r>
      <w:r w:rsidR="00EC7893" w:rsidRPr="00EC7893">
        <w:rPr>
          <w:bCs/>
        </w:rPr>
        <w:t>ustawy z dnia 6 listopada 2008 r. o prawach pacjenta i Rzecznik</w:t>
      </w:r>
      <w:r w:rsidR="00EC7893">
        <w:rPr>
          <w:bCs/>
        </w:rPr>
        <w:t>u</w:t>
      </w:r>
      <w:r w:rsidR="00EC7893" w:rsidRPr="00EC7893">
        <w:rPr>
          <w:bCs/>
        </w:rPr>
        <w:t xml:space="preserve"> Praw Pacjent</w:t>
      </w:r>
      <w:r w:rsidR="00EE5636">
        <w:rPr>
          <w:bCs/>
        </w:rPr>
        <w:t xml:space="preserve">a </w:t>
      </w:r>
      <w:r w:rsidR="00EE5636" w:rsidRPr="00EE5636">
        <w:rPr>
          <w:bCs/>
        </w:rPr>
        <w:t xml:space="preserve"> (</w:t>
      </w:r>
      <w:proofErr w:type="spellStart"/>
      <w:r w:rsidR="00EE5636" w:rsidRPr="00EE5636">
        <w:rPr>
          <w:bCs/>
        </w:rPr>
        <w:t>t.j</w:t>
      </w:r>
      <w:proofErr w:type="spellEnd"/>
      <w:r w:rsidR="00EE5636" w:rsidRPr="00EE5636">
        <w:rPr>
          <w:bCs/>
        </w:rPr>
        <w:t>. Dz. U. z 2020 r. poz. 849).</w:t>
      </w:r>
    </w:p>
    <w:p w14:paraId="3ED2E335" w14:textId="77777777" w:rsidR="00AF1907" w:rsidRDefault="00AF1907" w:rsidP="00AF1907">
      <w:pPr>
        <w:jc w:val="center"/>
        <w:rPr>
          <w:b/>
          <w:sz w:val="24"/>
          <w:szCs w:val="24"/>
        </w:rPr>
      </w:pPr>
      <w:r>
        <w:rPr>
          <w:b/>
          <w:sz w:val="24"/>
          <w:szCs w:val="24"/>
        </w:rPr>
        <w:t>§ 3</w:t>
      </w:r>
    </w:p>
    <w:p w14:paraId="3B633535" w14:textId="7693105B" w:rsidR="00AF1907" w:rsidRDefault="00EC7893" w:rsidP="00AF1907">
      <w:pPr>
        <w:numPr>
          <w:ilvl w:val="0"/>
          <w:numId w:val="2"/>
        </w:numPr>
        <w:jc w:val="both"/>
      </w:pPr>
      <w:r>
        <w:t xml:space="preserve">Zakres i tryb oraz </w:t>
      </w:r>
      <w:r w:rsidR="00AF1907">
        <w:t>sposób</w:t>
      </w:r>
      <w:r w:rsidR="00731991">
        <w:t xml:space="preserve"> dokumentowania badań lekarskich będzie zgodny </w:t>
      </w:r>
      <w:r w:rsidR="00902528">
        <w:t xml:space="preserve">          </w:t>
      </w:r>
      <w:r w:rsidR="003F7E60">
        <w:t xml:space="preserve">          </w:t>
      </w:r>
      <w:r w:rsidR="00902528">
        <w:t xml:space="preserve">          </w:t>
      </w:r>
      <w:r w:rsidR="00731991">
        <w:t xml:space="preserve">z rozporządzeniem o którym mowa w § 1 ust. 3 lit. b Umowy. </w:t>
      </w:r>
      <w:r w:rsidR="00AF1907">
        <w:t xml:space="preserve"> </w:t>
      </w:r>
    </w:p>
    <w:p w14:paraId="67FCFAA2" w14:textId="77777777" w:rsidR="00AF1907" w:rsidRPr="003C6C3D" w:rsidRDefault="00AF1907" w:rsidP="00AF1907">
      <w:pPr>
        <w:numPr>
          <w:ilvl w:val="0"/>
          <w:numId w:val="2"/>
        </w:numPr>
        <w:jc w:val="both"/>
      </w:pPr>
      <w:r>
        <w:t>Lekarz przeprowadzający badania lekarskie wydaje orzeczeni</w:t>
      </w:r>
      <w:r w:rsidR="00731991">
        <w:t>a w formie zaświadczeń lekarskich.</w:t>
      </w:r>
      <w:r>
        <w:t xml:space="preserve">     </w:t>
      </w:r>
    </w:p>
    <w:p w14:paraId="6F280485" w14:textId="77777777" w:rsidR="00AF1907" w:rsidRDefault="00AF1907" w:rsidP="00AF1907">
      <w:pPr>
        <w:numPr>
          <w:ilvl w:val="0"/>
          <w:numId w:val="2"/>
        </w:numPr>
        <w:jc w:val="both"/>
      </w:pPr>
      <w:r>
        <w:t>Zaświadczenie lekarskie wystawiane jest w dwóch egzemplarzach, jeden dla Szkoły, drugi jest doł</w:t>
      </w:r>
      <w:r w:rsidR="00731991">
        <w:t>ączany do dokumentacji badania lekarskiego</w:t>
      </w:r>
      <w:r>
        <w:t xml:space="preserve"> </w:t>
      </w:r>
      <w:r w:rsidRPr="00C3594C">
        <w:t>osoby</w:t>
      </w:r>
      <w:r>
        <w:t xml:space="preserve"> badanej. W przypadku gdy </w:t>
      </w:r>
      <w:r w:rsidRPr="00C3594C">
        <w:t>osoba,</w:t>
      </w:r>
      <w:r>
        <w:t xml:space="preserve"> której zaświadczenie dotyczy, nie posiada pełnej zdolności do czynności prawnych, zaświadczenie wydaje się jej przedstawicielowi ustawowemu, który prz</w:t>
      </w:r>
      <w:r w:rsidR="00731991">
        <w:t>ekazuje je Szkole.</w:t>
      </w:r>
    </w:p>
    <w:p w14:paraId="6D426331" w14:textId="77777777" w:rsidR="00AF1907" w:rsidRDefault="00AF1907" w:rsidP="00AF1907">
      <w:pPr>
        <w:numPr>
          <w:ilvl w:val="0"/>
          <w:numId w:val="2"/>
        </w:numPr>
        <w:jc w:val="both"/>
      </w:pPr>
      <w:r>
        <w:t xml:space="preserve">Świadczeń zdrowotnych stanowiących przedmiot umowy udzielać będzie </w:t>
      </w:r>
      <w:r>
        <w:rPr>
          <w:b/>
          <w:bCs/>
        </w:rPr>
        <w:t>..............</w:t>
      </w:r>
      <w:r>
        <w:rPr>
          <w:b/>
          <w:bCs/>
        </w:rPr>
        <w:br/>
      </w:r>
      <w:r>
        <w:t>lekarzy.</w:t>
      </w:r>
    </w:p>
    <w:p w14:paraId="26E438D4" w14:textId="77777777" w:rsidR="00AF1907" w:rsidRDefault="00AF1907" w:rsidP="00AF1907">
      <w:pPr>
        <w:numPr>
          <w:ilvl w:val="0"/>
          <w:numId w:val="2"/>
        </w:numPr>
        <w:jc w:val="both"/>
      </w:pPr>
      <w:r>
        <w:t xml:space="preserve">PJSMP (przyjmujący zamówienie) zobowiązana jest do prowadzenia dokumentacji medycznej na zasadach obowiązujących w służbie medycyny pracy. </w:t>
      </w:r>
    </w:p>
    <w:p w14:paraId="1C64D165" w14:textId="77777777" w:rsidR="00AF1907" w:rsidRDefault="00AF1907" w:rsidP="00731991">
      <w:pPr>
        <w:numPr>
          <w:ilvl w:val="0"/>
          <w:numId w:val="2"/>
        </w:numPr>
        <w:jc w:val="both"/>
      </w:pPr>
      <w:r>
        <w:t>PJSMP zobowiązana jest do prowadzenia sprawozdawczości statystycznej na zasadach obowiązujących w służbie medycyny pracy, zg</w:t>
      </w:r>
      <w:r w:rsidR="00731991">
        <w:t>odnie z</w:t>
      </w:r>
      <w:r w:rsidR="00731991" w:rsidRPr="00731991">
        <w:t xml:space="preserve"> </w:t>
      </w:r>
      <w:r w:rsidR="00731991">
        <w:rPr>
          <w:color w:val="000000" w:themeColor="text1"/>
        </w:rPr>
        <w:t>Ustawą</w:t>
      </w:r>
      <w:r w:rsidR="00731991" w:rsidRPr="00731991">
        <w:rPr>
          <w:color w:val="000000" w:themeColor="text1"/>
        </w:rPr>
        <w:t xml:space="preserve"> z dnia 29 czerwca 1995 r. o statystyce publicznej (</w:t>
      </w:r>
      <w:proofErr w:type="spellStart"/>
      <w:r w:rsidR="00731991" w:rsidRPr="00731991">
        <w:rPr>
          <w:color w:val="000000" w:themeColor="text1"/>
        </w:rPr>
        <w:t>t.j</w:t>
      </w:r>
      <w:proofErr w:type="spellEnd"/>
      <w:r w:rsidR="00731991" w:rsidRPr="00731991">
        <w:rPr>
          <w:color w:val="000000" w:themeColor="text1"/>
        </w:rPr>
        <w:t>. Dz. U. z 2019 r. poz. 649 z późn. zm.).</w:t>
      </w:r>
    </w:p>
    <w:p w14:paraId="62C1C1E4" w14:textId="77777777" w:rsidR="00AF1907" w:rsidRDefault="00AF1907" w:rsidP="00AF1907">
      <w:pPr>
        <w:numPr>
          <w:ilvl w:val="0"/>
          <w:numId w:val="2"/>
        </w:numPr>
        <w:jc w:val="both"/>
      </w:pPr>
      <w:r w:rsidRPr="00521EDB">
        <w:t xml:space="preserve">Realizując przedmiot umowy Szkoła może zawrzeć Umowę z jedną Podstawową Jednostką Służby Medycyny Pracy. </w:t>
      </w:r>
    </w:p>
    <w:p w14:paraId="34347A55" w14:textId="77777777" w:rsidR="00902528" w:rsidRDefault="00207186" w:rsidP="00A210FF">
      <w:pPr>
        <w:numPr>
          <w:ilvl w:val="0"/>
          <w:numId w:val="2"/>
        </w:numPr>
      </w:pPr>
      <w:r w:rsidRPr="00214937">
        <w:t>Określenie sposobu organizacji udzielania świadczeń zdrowotnych, w tym miejsca, dni</w:t>
      </w:r>
    </w:p>
    <w:p w14:paraId="3E383C7E" w14:textId="2B11F52C" w:rsidR="00A210FF" w:rsidRDefault="00207186" w:rsidP="00902528">
      <w:pPr>
        <w:ind w:left="360"/>
      </w:pPr>
      <w:r w:rsidRPr="00214937">
        <w:t xml:space="preserve"> i godzin udzielania świadczeń zdrowotnych: </w:t>
      </w:r>
    </w:p>
    <w:p w14:paraId="6AF767BB" w14:textId="30536D77" w:rsidR="0088244D" w:rsidRDefault="0088244D" w:rsidP="00902528">
      <w:pPr>
        <w:ind w:left="360"/>
      </w:pPr>
    </w:p>
    <w:p w14:paraId="5C2A46BA" w14:textId="77777777" w:rsidR="0088244D" w:rsidRPr="00214937" w:rsidRDefault="0088244D" w:rsidP="00902528">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2918"/>
        <w:gridCol w:w="1789"/>
        <w:gridCol w:w="1306"/>
        <w:gridCol w:w="2386"/>
      </w:tblGrid>
      <w:tr w:rsidR="00A210FF" w:rsidRPr="008416CF" w14:paraId="4E7D3F71" w14:textId="77777777" w:rsidTr="001B6D18">
        <w:trPr>
          <w:trHeight w:val="885"/>
        </w:trPr>
        <w:tc>
          <w:tcPr>
            <w:tcW w:w="675" w:type="dxa"/>
            <w:shd w:val="pct20" w:color="auto" w:fill="auto"/>
            <w:vAlign w:val="center"/>
          </w:tcPr>
          <w:p w14:paraId="0E75807F" w14:textId="77777777" w:rsidR="00A210FF" w:rsidRPr="00A210FF" w:rsidRDefault="00A210FF" w:rsidP="00A210FF">
            <w:pPr>
              <w:autoSpaceDE w:val="0"/>
              <w:autoSpaceDN w:val="0"/>
              <w:adjustRightInd w:val="0"/>
              <w:rPr>
                <w:sz w:val="20"/>
                <w:szCs w:val="20"/>
              </w:rPr>
            </w:pPr>
            <w:r>
              <w:rPr>
                <w:sz w:val="20"/>
                <w:szCs w:val="20"/>
              </w:rPr>
              <w:t xml:space="preserve"> </w:t>
            </w:r>
            <w:r w:rsidRPr="00A210FF">
              <w:rPr>
                <w:sz w:val="20"/>
                <w:szCs w:val="20"/>
              </w:rPr>
              <w:t>Lp.</w:t>
            </w:r>
          </w:p>
        </w:tc>
        <w:tc>
          <w:tcPr>
            <w:tcW w:w="3009" w:type="dxa"/>
            <w:shd w:val="pct20" w:color="auto" w:fill="auto"/>
            <w:vAlign w:val="center"/>
          </w:tcPr>
          <w:p w14:paraId="4CCF4FFE" w14:textId="77777777" w:rsidR="00A210FF" w:rsidRPr="008416CF" w:rsidRDefault="00A210FF" w:rsidP="001B6D18">
            <w:pPr>
              <w:autoSpaceDE w:val="0"/>
              <w:autoSpaceDN w:val="0"/>
              <w:adjustRightInd w:val="0"/>
              <w:jc w:val="center"/>
              <w:rPr>
                <w:b/>
                <w:sz w:val="20"/>
                <w:szCs w:val="20"/>
              </w:rPr>
            </w:pPr>
            <w:r w:rsidRPr="008416CF">
              <w:rPr>
                <w:sz w:val="20"/>
                <w:szCs w:val="20"/>
              </w:rPr>
              <w:t>Pracownia / Poradnia</w:t>
            </w:r>
          </w:p>
        </w:tc>
        <w:tc>
          <w:tcPr>
            <w:tcW w:w="1842" w:type="dxa"/>
            <w:shd w:val="pct20" w:color="auto" w:fill="auto"/>
            <w:vAlign w:val="center"/>
          </w:tcPr>
          <w:p w14:paraId="483CA488" w14:textId="77777777" w:rsidR="00A210FF" w:rsidRPr="008416CF" w:rsidRDefault="00A210FF" w:rsidP="001B6D18">
            <w:pPr>
              <w:autoSpaceDE w:val="0"/>
              <w:autoSpaceDN w:val="0"/>
              <w:adjustRightInd w:val="0"/>
              <w:jc w:val="center"/>
              <w:rPr>
                <w:sz w:val="20"/>
                <w:szCs w:val="20"/>
              </w:rPr>
            </w:pPr>
            <w:r>
              <w:rPr>
                <w:sz w:val="20"/>
                <w:szCs w:val="20"/>
              </w:rPr>
              <w:t>Adres pracowni, poradni</w:t>
            </w:r>
          </w:p>
        </w:tc>
        <w:tc>
          <w:tcPr>
            <w:tcW w:w="1245" w:type="dxa"/>
            <w:shd w:val="pct20" w:color="auto" w:fill="auto"/>
            <w:vAlign w:val="center"/>
          </w:tcPr>
          <w:p w14:paraId="5980C667" w14:textId="4B301FA6" w:rsidR="00A210FF" w:rsidRPr="008416CF" w:rsidRDefault="00902528" w:rsidP="001B6D18">
            <w:pPr>
              <w:autoSpaceDE w:val="0"/>
              <w:autoSpaceDN w:val="0"/>
              <w:adjustRightInd w:val="0"/>
              <w:jc w:val="center"/>
              <w:rPr>
                <w:sz w:val="20"/>
                <w:szCs w:val="20"/>
              </w:rPr>
            </w:pPr>
            <w:r>
              <w:rPr>
                <w:sz w:val="20"/>
                <w:szCs w:val="20"/>
              </w:rPr>
              <w:t>Dni/</w:t>
            </w:r>
            <w:r w:rsidR="00A210FF" w:rsidRPr="008416CF">
              <w:rPr>
                <w:sz w:val="20"/>
                <w:szCs w:val="20"/>
              </w:rPr>
              <w:t>Godziny</w:t>
            </w:r>
          </w:p>
          <w:p w14:paraId="3C4844D2" w14:textId="77777777" w:rsidR="00A210FF" w:rsidRPr="008416CF" w:rsidRDefault="00A210FF" w:rsidP="001B6D18">
            <w:pPr>
              <w:autoSpaceDE w:val="0"/>
              <w:autoSpaceDN w:val="0"/>
              <w:adjustRightInd w:val="0"/>
              <w:jc w:val="center"/>
              <w:rPr>
                <w:sz w:val="20"/>
                <w:szCs w:val="20"/>
              </w:rPr>
            </w:pPr>
            <w:r w:rsidRPr="008416CF">
              <w:rPr>
                <w:sz w:val="20"/>
                <w:szCs w:val="20"/>
              </w:rPr>
              <w:t>pracy</w:t>
            </w:r>
          </w:p>
          <w:p w14:paraId="3B84F93E" w14:textId="77777777" w:rsidR="00A210FF" w:rsidRPr="008416CF" w:rsidRDefault="00A210FF" w:rsidP="001B6D18">
            <w:pPr>
              <w:autoSpaceDE w:val="0"/>
              <w:autoSpaceDN w:val="0"/>
              <w:adjustRightInd w:val="0"/>
              <w:jc w:val="center"/>
              <w:rPr>
                <w:b/>
                <w:sz w:val="20"/>
                <w:szCs w:val="20"/>
              </w:rPr>
            </w:pPr>
          </w:p>
        </w:tc>
        <w:tc>
          <w:tcPr>
            <w:tcW w:w="2441" w:type="dxa"/>
            <w:shd w:val="pct20" w:color="auto" w:fill="auto"/>
            <w:vAlign w:val="center"/>
          </w:tcPr>
          <w:p w14:paraId="775A87E7" w14:textId="77777777" w:rsidR="00A210FF" w:rsidRPr="008416CF" w:rsidRDefault="00A210FF" w:rsidP="001B6D18">
            <w:pPr>
              <w:autoSpaceDE w:val="0"/>
              <w:autoSpaceDN w:val="0"/>
              <w:adjustRightInd w:val="0"/>
              <w:jc w:val="center"/>
              <w:rPr>
                <w:sz w:val="20"/>
                <w:szCs w:val="20"/>
              </w:rPr>
            </w:pPr>
            <w:r w:rsidRPr="008416CF">
              <w:rPr>
                <w:sz w:val="20"/>
                <w:szCs w:val="20"/>
              </w:rPr>
              <w:t xml:space="preserve">Wykaz sprzętu </w:t>
            </w:r>
            <w:r w:rsidRPr="008416CF">
              <w:rPr>
                <w:sz w:val="20"/>
                <w:szCs w:val="20"/>
              </w:rPr>
              <w:br/>
              <w:t>w poszczególnych</w:t>
            </w:r>
          </w:p>
          <w:p w14:paraId="671C9496" w14:textId="77777777" w:rsidR="00A210FF" w:rsidRPr="008416CF" w:rsidRDefault="00A210FF" w:rsidP="001B6D18">
            <w:pPr>
              <w:autoSpaceDE w:val="0"/>
              <w:autoSpaceDN w:val="0"/>
              <w:adjustRightInd w:val="0"/>
              <w:jc w:val="center"/>
              <w:rPr>
                <w:sz w:val="20"/>
                <w:szCs w:val="20"/>
              </w:rPr>
            </w:pPr>
            <w:r w:rsidRPr="008416CF">
              <w:rPr>
                <w:sz w:val="20"/>
                <w:szCs w:val="20"/>
              </w:rPr>
              <w:t xml:space="preserve">pracowniach </w:t>
            </w:r>
            <w:r w:rsidRPr="008416CF">
              <w:rPr>
                <w:sz w:val="20"/>
                <w:szCs w:val="20"/>
              </w:rPr>
              <w:br/>
              <w:t>i poradniach</w:t>
            </w:r>
          </w:p>
        </w:tc>
      </w:tr>
      <w:tr w:rsidR="00A210FF" w:rsidRPr="008416CF" w14:paraId="2ED51CF5" w14:textId="77777777" w:rsidTr="001B6D18">
        <w:trPr>
          <w:trHeight w:val="224"/>
        </w:trPr>
        <w:tc>
          <w:tcPr>
            <w:tcW w:w="675" w:type="dxa"/>
            <w:vAlign w:val="center"/>
          </w:tcPr>
          <w:p w14:paraId="35F7C30B" w14:textId="77777777" w:rsidR="00A210FF" w:rsidRPr="008416CF" w:rsidRDefault="00A210FF" w:rsidP="001B6D18">
            <w:pPr>
              <w:autoSpaceDE w:val="0"/>
              <w:autoSpaceDN w:val="0"/>
              <w:adjustRightInd w:val="0"/>
              <w:jc w:val="center"/>
              <w:rPr>
                <w:sz w:val="20"/>
                <w:szCs w:val="20"/>
              </w:rPr>
            </w:pPr>
            <w:r w:rsidRPr="008416CF">
              <w:rPr>
                <w:sz w:val="20"/>
                <w:szCs w:val="20"/>
              </w:rPr>
              <w:t>1</w:t>
            </w:r>
          </w:p>
        </w:tc>
        <w:tc>
          <w:tcPr>
            <w:tcW w:w="3009" w:type="dxa"/>
            <w:vAlign w:val="center"/>
          </w:tcPr>
          <w:p w14:paraId="7D025389" w14:textId="77777777" w:rsidR="00A210FF" w:rsidRPr="008416CF" w:rsidRDefault="00A210FF" w:rsidP="001B6D18">
            <w:pPr>
              <w:autoSpaceDE w:val="0"/>
              <w:autoSpaceDN w:val="0"/>
              <w:adjustRightInd w:val="0"/>
              <w:rPr>
                <w:sz w:val="20"/>
                <w:szCs w:val="20"/>
              </w:rPr>
            </w:pPr>
            <w:r w:rsidRPr="008416CF">
              <w:rPr>
                <w:sz w:val="20"/>
                <w:szCs w:val="20"/>
              </w:rPr>
              <w:t>Rejestracja</w:t>
            </w:r>
          </w:p>
        </w:tc>
        <w:tc>
          <w:tcPr>
            <w:tcW w:w="1842" w:type="dxa"/>
          </w:tcPr>
          <w:p w14:paraId="5D4BA71A" w14:textId="77777777" w:rsidR="00A210FF" w:rsidRPr="008416CF" w:rsidRDefault="00A210FF" w:rsidP="001B6D18">
            <w:pPr>
              <w:autoSpaceDE w:val="0"/>
              <w:autoSpaceDN w:val="0"/>
              <w:adjustRightInd w:val="0"/>
              <w:jc w:val="both"/>
              <w:rPr>
                <w:b/>
                <w:sz w:val="20"/>
                <w:szCs w:val="20"/>
              </w:rPr>
            </w:pPr>
          </w:p>
        </w:tc>
        <w:tc>
          <w:tcPr>
            <w:tcW w:w="1245" w:type="dxa"/>
          </w:tcPr>
          <w:p w14:paraId="3A5685DC" w14:textId="77777777" w:rsidR="00A210FF" w:rsidRPr="008416CF" w:rsidRDefault="00A210FF" w:rsidP="001B6D18">
            <w:pPr>
              <w:autoSpaceDE w:val="0"/>
              <w:autoSpaceDN w:val="0"/>
              <w:adjustRightInd w:val="0"/>
              <w:jc w:val="both"/>
              <w:rPr>
                <w:b/>
                <w:sz w:val="20"/>
                <w:szCs w:val="20"/>
              </w:rPr>
            </w:pPr>
          </w:p>
        </w:tc>
        <w:tc>
          <w:tcPr>
            <w:tcW w:w="2441" w:type="dxa"/>
          </w:tcPr>
          <w:p w14:paraId="245A149A" w14:textId="77777777" w:rsidR="00A210FF" w:rsidRPr="008416CF" w:rsidRDefault="00A210FF" w:rsidP="001B6D18">
            <w:pPr>
              <w:autoSpaceDE w:val="0"/>
              <w:autoSpaceDN w:val="0"/>
              <w:adjustRightInd w:val="0"/>
              <w:jc w:val="both"/>
              <w:rPr>
                <w:b/>
                <w:sz w:val="20"/>
                <w:szCs w:val="20"/>
              </w:rPr>
            </w:pPr>
          </w:p>
        </w:tc>
      </w:tr>
      <w:tr w:rsidR="00A210FF" w:rsidRPr="008416CF" w14:paraId="75202009" w14:textId="77777777" w:rsidTr="001B6D18">
        <w:trPr>
          <w:trHeight w:val="833"/>
        </w:trPr>
        <w:tc>
          <w:tcPr>
            <w:tcW w:w="675" w:type="dxa"/>
            <w:vAlign w:val="center"/>
          </w:tcPr>
          <w:p w14:paraId="40C4A1A5" w14:textId="77777777" w:rsidR="00A210FF" w:rsidRPr="008416CF" w:rsidRDefault="00A210FF" w:rsidP="001B6D18">
            <w:pPr>
              <w:autoSpaceDE w:val="0"/>
              <w:autoSpaceDN w:val="0"/>
              <w:adjustRightInd w:val="0"/>
              <w:jc w:val="center"/>
              <w:rPr>
                <w:sz w:val="20"/>
                <w:szCs w:val="20"/>
              </w:rPr>
            </w:pPr>
            <w:r w:rsidRPr="008416CF">
              <w:rPr>
                <w:sz w:val="20"/>
                <w:szCs w:val="20"/>
              </w:rPr>
              <w:t>2</w:t>
            </w:r>
          </w:p>
        </w:tc>
        <w:tc>
          <w:tcPr>
            <w:tcW w:w="3009" w:type="dxa"/>
            <w:vAlign w:val="center"/>
          </w:tcPr>
          <w:p w14:paraId="527A0B16" w14:textId="77777777" w:rsidR="00A210FF" w:rsidRPr="008416CF" w:rsidRDefault="00A210FF" w:rsidP="001B6D18">
            <w:pPr>
              <w:autoSpaceDE w:val="0"/>
              <w:autoSpaceDN w:val="0"/>
              <w:adjustRightInd w:val="0"/>
              <w:rPr>
                <w:sz w:val="20"/>
                <w:szCs w:val="20"/>
              </w:rPr>
            </w:pPr>
            <w:r w:rsidRPr="008416CF">
              <w:rPr>
                <w:sz w:val="20"/>
                <w:szCs w:val="20"/>
              </w:rPr>
              <w:t>Gabinet Medycyny Pracy</w:t>
            </w:r>
          </w:p>
          <w:p w14:paraId="2F082429" w14:textId="77777777" w:rsidR="00A210FF" w:rsidRPr="008416CF" w:rsidRDefault="00A210FF" w:rsidP="001B6D18">
            <w:pPr>
              <w:autoSpaceDE w:val="0"/>
              <w:autoSpaceDN w:val="0"/>
              <w:adjustRightInd w:val="0"/>
              <w:rPr>
                <w:sz w:val="20"/>
                <w:szCs w:val="20"/>
              </w:rPr>
            </w:pPr>
            <w:r w:rsidRPr="008416CF">
              <w:rPr>
                <w:sz w:val="20"/>
                <w:szCs w:val="20"/>
              </w:rPr>
              <w:t>lekarza uprawnionego do</w:t>
            </w:r>
          </w:p>
          <w:p w14:paraId="665FF236" w14:textId="77777777" w:rsidR="00A210FF" w:rsidRPr="008416CF" w:rsidRDefault="00A210FF" w:rsidP="001B6D18">
            <w:pPr>
              <w:autoSpaceDE w:val="0"/>
              <w:autoSpaceDN w:val="0"/>
              <w:adjustRightInd w:val="0"/>
              <w:rPr>
                <w:sz w:val="20"/>
                <w:szCs w:val="20"/>
              </w:rPr>
            </w:pPr>
            <w:r w:rsidRPr="008416CF">
              <w:rPr>
                <w:sz w:val="20"/>
                <w:szCs w:val="20"/>
              </w:rPr>
              <w:t>badań profilaktycznych</w:t>
            </w:r>
          </w:p>
        </w:tc>
        <w:tc>
          <w:tcPr>
            <w:tcW w:w="1842" w:type="dxa"/>
          </w:tcPr>
          <w:p w14:paraId="09DC001A" w14:textId="77777777" w:rsidR="00A210FF" w:rsidRPr="008416CF" w:rsidRDefault="00A210FF" w:rsidP="001B6D18">
            <w:pPr>
              <w:autoSpaceDE w:val="0"/>
              <w:autoSpaceDN w:val="0"/>
              <w:adjustRightInd w:val="0"/>
              <w:jc w:val="both"/>
              <w:rPr>
                <w:b/>
                <w:sz w:val="20"/>
                <w:szCs w:val="20"/>
              </w:rPr>
            </w:pPr>
          </w:p>
        </w:tc>
        <w:tc>
          <w:tcPr>
            <w:tcW w:w="1245" w:type="dxa"/>
          </w:tcPr>
          <w:p w14:paraId="57FC89EF" w14:textId="77777777" w:rsidR="00A210FF" w:rsidRPr="008416CF" w:rsidRDefault="00A210FF" w:rsidP="001B6D18">
            <w:pPr>
              <w:autoSpaceDE w:val="0"/>
              <w:autoSpaceDN w:val="0"/>
              <w:adjustRightInd w:val="0"/>
              <w:jc w:val="both"/>
              <w:rPr>
                <w:b/>
                <w:sz w:val="20"/>
                <w:szCs w:val="20"/>
              </w:rPr>
            </w:pPr>
          </w:p>
        </w:tc>
        <w:tc>
          <w:tcPr>
            <w:tcW w:w="2441" w:type="dxa"/>
          </w:tcPr>
          <w:p w14:paraId="0E448146" w14:textId="77777777" w:rsidR="00A210FF" w:rsidRPr="008416CF" w:rsidRDefault="00A210FF" w:rsidP="001B6D18">
            <w:pPr>
              <w:autoSpaceDE w:val="0"/>
              <w:autoSpaceDN w:val="0"/>
              <w:adjustRightInd w:val="0"/>
              <w:jc w:val="both"/>
              <w:rPr>
                <w:b/>
                <w:sz w:val="20"/>
                <w:szCs w:val="20"/>
              </w:rPr>
            </w:pPr>
          </w:p>
        </w:tc>
      </w:tr>
      <w:tr w:rsidR="00A210FF" w:rsidRPr="008416CF" w14:paraId="1DB2D97C" w14:textId="77777777" w:rsidTr="001B6D18">
        <w:trPr>
          <w:trHeight w:val="242"/>
        </w:trPr>
        <w:tc>
          <w:tcPr>
            <w:tcW w:w="675" w:type="dxa"/>
            <w:vAlign w:val="center"/>
          </w:tcPr>
          <w:p w14:paraId="6C79EFA7" w14:textId="77777777" w:rsidR="00A210FF" w:rsidRPr="008416CF" w:rsidRDefault="00A210FF" w:rsidP="001B6D18">
            <w:pPr>
              <w:autoSpaceDE w:val="0"/>
              <w:autoSpaceDN w:val="0"/>
              <w:adjustRightInd w:val="0"/>
              <w:jc w:val="center"/>
              <w:rPr>
                <w:sz w:val="20"/>
                <w:szCs w:val="20"/>
              </w:rPr>
            </w:pPr>
            <w:r w:rsidRPr="008416CF">
              <w:rPr>
                <w:sz w:val="20"/>
                <w:szCs w:val="20"/>
              </w:rPr>
              <w:t>3</w:t>
            </w:r>
          </w:p>
        </w:tc>
        <w:tc>
          <w:tcPr>
            <w:tcW w:w="3009" w:type="dxa"/>
            <w:vAlign w:val="center"/>
          </w:tcPr>
          <w:p w14:paraId="1CEBD993" w14:textId="77777777" w:rsidR="00A210FF" w:rsidRPr="008416CF" w:rsidRDefault="00A210FF" w:rsidP="001B6D18">
            <w:pPr>
              <w:autoSpaceDE w:val="0"/>
              <w:autoSpaceDN w:val="0"/>
              <w:adjustRightInd w:val="0"/>
              <w:rPr>
                <w:sz w:val="20"/>
                <w:szCs w:val="20"/>
              </w:rPr>
            </w:pPr>
            <w:r w:rsidRPr="008416CF">
              <w:rPr>
                <w:sz w:val="20"/>
                <w:szCs w:val="20"/>
              </w:rPr>
              <w:t>Poradnia Okulistyczna</w:t>
            </w:r>
          </w:p>
        </w:tc>
        <w:tc>
          <w:tcPr>
            <w:tcW w:w="1842" w:type="dxa"/>
          </w:tcPr>
          <w:p w14:paraId="1F069247" w14:textId="77777777" w:rsidR="00A210FF" w:rsidRPr="008416CF" w:rsidRDefault="00A210FF" w:rsidP="001B6D18">
            <w:pPr>
              <w:autoSpaceDE w:val="0"/>
              <w:autoSpaceDN w:val="0"/>
              <w:adjustRightInd w:val="0"/>
              <w:jc w:val="both"/>
              <w:rPr>
                <w:b/>
                <w:sz w:val="20"/>
                <w:szCs w:val="20"/>
              </w:rPr>
            </w:pPr>
          </w:p>
        </w:tc>
        <w:tc>
          <w:tcPr>
            <w:tcW w:w="1245" w:type="dxa"/>
          </w:tcPr>
          <w:p w14:paraId="5A267845" w14:textId="77777777" w:rsidR="00A210FF" w:rsidRPr="008416CF" w:rsidRDefault="00A210FF" w:rsidP="001B6D18">
            <w:pPr>
              <w:autoSpaceDE w:val="0"/>
              <w:autoSpaceDN w:val="0"/>
              <w:adjustRightInd w:val="0"/>
              <w:jc w:val="both"/>
              <w:rPr>
                <w:b/>
                <w:sz w:val="20"/>
                <w:szCs w:val="20"/>
              </w:rPr>
            </w:pPr>
          </w:p>
        </w:tc>
        <w:tc>
          <w:tcPr>
            <w:tcW w:w="2441" w:type="dxa"/>
          </w:tcPr>
          <w:p w14:paraId="10E0DE0A" w14:textId="77777777" w:rsidR="00A210FF" w:rsidRPr="008416CF" w:rsidRDefault="00A210FF" w:rsidP="001B6D18">
            <w:pPr>
              <w:autoSpaceDE w:val="0"/>
              <w:autoSpaceDN w:val="0"/>
              <w:adjustRightInd w:val="0"/>
              <w:jc w:val="both"/>
              <w:rPr>
                <w:b/>
                <w:sz w:val="20"/>
                <w:szCs w:val="20"/>
              </w:rPr>
            </w:pPr>
          </w:p>
        </w:tc>
      </w:tr>
      <w:tr w:rsidR="00A210FF" w:rsidRPr="008416CF" w14:paraId="6C431CE6" w14:textId="77777777" w:rsidTr="001B6D18">
        <w:trPr>
          <w:trHeight w:val="262"/>
        </w:trPr>
        <w:tc>
          <w:tcPr>
            <w:tcW w:w="675" w:type="dxa"/>
            <w:vAlign w:val="center"/>
          </w:tcPr>
          <w:p w14:paraId="714E3832" w14:textId="77777777" w:rsidR="00A210FF" w:rsidRPr="008416CF" w:rsidRDefault="00A210FF" w:rsidP="001B6D18">
            <w:pPr>
              <w:autoSpaceDE w:val="0"/>
              <w:autoSpaceDN w:val="0"/>
              <w:adjustRightInd w:val="0"/>
              <w:jc w:val="center"/>
              <w:rPr>
                <w:sz w:val="20"/>
                <w:szCs w:val="20"/>
              </w:rPr>
            </w:pPr>
            <w:r w:rsidRPr="008416CF">
              <w:rPr>
                <w:sz w:val="20"/>
                <w:szCs w:val="20"/>
              </w:rPr>
              <w:t>4</w:t>
            </w:r>
          </w:p>
        </w:tc>
        <w:tc>
          <w:tcPr>
            <w:tcW w:w="3009" w:type="dxa"/>
            <w:vAlign w:val="center"/>
          </w:tcPr>
          <w:p w14:paraId="60CEC14F" w14:textId="77777777" w:rsidR="00A210FF" w:rsidRPr="008416CF" w:rsidRDefault="00A210FF" w:rsidP="001B6D18">
            <w:pPr>
              <w:autoSpaceDE w:val="0"/>
              <w:autoSpaceDN w:val="0"/>
              <w:adjustRightInd w:val="0"/>
              <w:rPr>
                <w:sz w:val="20"/>
                <w:szCs w:val="20"/>
              </w:rPr>
            </w:pPr>
            <w:r w:rsidRPr="008416CF">
              <w:rPr>
                <w:sz w:val="20"/>
                <w:szCs w:val="20"/>
              </w:rPr>
              <w:t>Poradnia Neurologiczna</w:t>
            </w:r>
          </w:p>
        </w:tc>
        <w:tc>
          <w:tcPr>
            <w:tcW w:w="1842" w:type="dxa"/>
          </w:tcPr>
          <w:p w14:paraId="76DAEA4F" w14:textId="77777777" w:rsidR="00A210FF" w:rsidRPr="008416CF" w:rsidRDefault="00A210FF" w:rsidP="001B6D18">
            <w:pPr>
              <w:autoSpaceDE w:val="0"/>
              <w:autoSpaceDN w:val="0"/>
              <w:adjustRightInd w:val="0"/>
              <w:jc w:val="both"/>
              <w:rPr>
                <w:b/>
                <w:sz w:val="20"/>
                <w:szCs w:val="20"/>
              </w:rPr>
            </w:pPr>
          </w:p>
        </w:tc>
        <w:tc>
          <w:tcPr>
            <w:tcW w:w="1245" w:type="dxa"/>
          </w:tcPr>
          <w:p w14:paraId="475BC725" w14:textId="77777777" w:rsidR="00A210FF" w:rsidRPr="008416CF" w:rsidRDefault="00A210FF" w:rsidP="001B6D18">
            <w:pPr>
              <w:autoSpaceDE w:val="0"/>
              <w:autoSpaceDN w:val="0"/>
              <w:adjustRightInd w:val="0"/>
              <w:jc w:val="both"/>
              <w:rPr>
                <w:b/>
                <w:sz w:val="20"/>
                <w:szCs w:val="20"/>
              </w:rPr>
            </w:pPr>
          </w:p>
        </w:tc>
        <w:tc>
          <w:tcPr>
            <w:tcW w:w="2441" w:type="dxa"/>
          </w:tcPr>
          <w:p w14:paraId="26F3A664" w14:textId="77777777" w:rsidR="00A210FF" w:rsidRPr="008416CF" w:rsidRDefault="00A210FF" w:rsidP="001B6D18">
            <w:pPr>
              <w:autoSpaceDE w:val="0"/>
              <w:autoSpaceDN w:val="0"/>
              <w:adjustRightInd w:val="0"/>
              <w:jc w:val="both"/>
              <w:rPr>
                <w:b/>
                <w:sz w:val="20"/>
                <w:szCs w:val="20"/>
              </w:rPr>
            </w:pPr>
          </w:p>
        </w:tc>
      </w:tr>
      <w:tr w:rsidR="00A210FF" w:rsidRPr="008416CF" w14:paraId="3DE268B4" w14:textId="77777777" w:rsidTr="001B6D18">
        <w:trPr>
          <w:trHeight w:val="254"/>
        </w:trPr>
        <w:tc>
          <w:tcPr>
            <w:tcW w:w="675" w:type="dxa"/>
            <w:vAlign w:val="center"/>
          </w:tcPr>
          <w:p w14:paraId="65B883D6" w14:textId="77777777" w:rsidR="00A210FF" w:rsidRPr="008416CF" w:rsidRDefault="00A210FF" w:rsidP="001B6D18">
            <w:pPr>
              <w:autoSpaceDE w:val="0"/>
              <w:autoSpaceDN w:val="0"/>
              <w:adjustRightInd w:val="0"/>
              <w:jc w:val="center"/>
              <w:rPr>
                <w:sz w:val="20"/>
                <w:szCs w:val="20"/>
              </w:rPr>
            </w:pPr>
            <w:r w:rsidRPr="008416CF">
              <w:rPr>
                <w:sz w:val="20"/>
                <w:szCs w:val="20"/>
              </w:rPr>
              <w:t>5</w:t>
            </w:r>
          </w:p>
        </w:tc>
        <w:tc>
          <w:tcPr>
            <w:tcW w:w="3009" w:type="dxa"/>
            <w:vAlign w:val="center"/>
          </w:tcPr>
          <w:p w14:paraId="72A69250" w14:textId="77777777" w:rsidR="00A210FF" w:rsidRPr="008416CF" w:rsidRDefault="00A210FF" w:rsidP="001B6D18">
            <w:pPr>
              <w:autoSpaceDE w:val="0"/>
              <w:autoSpaceDN w:val="0"/>
              <w:adjustRightInd w:val="0"/>
              <w:rPr>
                <w:sz w:val="20"/>
                <w:szCs w:val="20"/>
              </w:rPr>
            </w:pPr>
            <w:r w:rsidRPr="008416CF">
              <w:rPr>
                <w:sz w:val="20"/>
                <w:szCs w:val="20"/>
              </w:rPr>
              <w:t>Poradnia Laryngologiczna</w:t>
            </w:r>
          </w:p>
        </w:tc>
        <w:tc>
          <w:tcPr>
            <w:tcW w:w="1842" w:type="dxa"/>
          </w:tcPr>
          <w:p w14:paraId="7B4804A4" w14:textId="77777777" w:rsidR="00A210FF" w:rsidRPr="008416CF" w:rsidRDefault="00A210FF" w:rsidP="001B6D18">
            <w:pPr>
              <w:autoSpaceDE w:val="0"/>
              <w:autoSpaceDN w:val="0"/>
              <w:adjustRightInd w:val="0"/>
              <w:jc w:val="both"/>
              <w:rPr>
                <w:b/>
                <w:sz w:val="20"/>
                <w:szCs w:val="20"/>
              </w:rPr>
            </w:pPr>
          </w:p>
        </w:tc>
        <w:tc>
          <w:tcPr>
            <w:tcW w:w="1245" w:type="dxa"/>
          </w:tcPr>
          <w:p w14:paraId="14E6F1E8" w14:textId="77777777" w:rsidR="00A210FF" w:rsidRPr="008416CF" w:rsidRDefault="00A210FF" w:rsidP="001B6D18">
            <w:pPr>
              <w:autoSpaceDE w:val="0"/>
              <w:autoSpaceDN w:val="0"/>
              <w:adjustRightInd w:val="0"/>
              <w:jc w:val="both"/>
              <w:rPr>
                <w:b/>
                <w:sz w:val="20"/>
                <w:szCs w:val="20"/>
              </w:rPr>
            </w:pPr>
          </w:p>
        </w:tc>
        <w:tc>
          <w:tcPr>
            <w:tcW w:w="2441" w:type="dxa"/>
          </w:tcPr>
          <w:p w14:paraId="7ADAFB2A" w14:textId="77777777" w:rsidR="00A210FF" w:rsidRPr="008416CF" w:rsidRDefault="00A210FF" w:rsidP="001B6D18">
            <w:pPr>
              <w:autoSpaceDE w:val="0"/>
              <w:autoSpaceDN w:val="0"/>
              <w:adjustRightInd w:val="0"/>
              <w:jc w:val="both"/>
              <w:rPr>
                <w:b/>
                <w:sz w:val="20"/>
                <w:szCs w:val="20"/>
              </w:rPr>
            </w:pPr>
          </w:p>
        </w:tc>
      </w:tr>
      <w:tr w:rsidR="00A210FF" w:rsidRPr="008416CF" w14:paraId="00557EFB" w14:textId="77777777" w:rsidTr="001B6D18">
        <w:trPr>
          <w:trHeight w:val="260"/>
        </w:trPr>
        <w:tc>
          <w:tcPr>
            <w:tcW w:w="675" w:type="dxa"/>
            <w:vAlign w:val="center"/>
          </w:tcPr>
          <w:p w14:paraId="31D79157" w14:textId="77777777" w:rsidR="00A210FF" w:rsidRPr="008416CF" w:rsidRDefault="00A210FF" w:rsidP="001B6D18">
            <w:pPr>
              <w:autoSpaceDE w:val="0"/>
              <w:autoSpaceDN w:val="0"/>
              <w:adjustRightInd w:val="0"/>
              <w:jc w:val="center"/>
              <w:rPr>
                <w:sz w:val="20"/>
                <w:szCs w:val="20"/>
              </w:rPr>
            </w:pPr>
            <w:r w:rsidRPr="008416CF">
              <w:rPr>
                <w:sz w:val="20"/>
                <w:szCs w:val="20"/>
              </w:rPr>
              <w:t>6</w:t>
            </w:r>
          </w:p>
        </w:tc>
        <w:tc>
          <w:tcPr>
            <w:tcW w:w="3009" w:type="dxa"/>
            <w:vAlign w:val="center"/>
          </w:tcPr>
          <w:p w14:paraId="35EF892D" w14:textId="77777777" w:rsidR="00A210FF" w:rsidRPr="008416CF" w:rsidRDefault="00A210FF" w:rsidP="001B6D18">
            <w:pPr>
              <w:autoSpaceDE w:val="0"/>
              <w:autoSpaceDN w:val="0"/>
              <w:adjustRightInd w:val="0"/>
              <w:rPr>
                <w:sz w:val="20"/>
                <w:szCs w:val="20"/>
              </w:rPr>
            </w:pPr>
            <w:r w:rsidRPr="008416CF">
              <w:rPr>
                <w:sz w:val="20"/>
                <w:szCs w:val="20"/>
              </w:rPr>
              <w:t>Pracownia Audiometryczna</w:t>
            </w:r>
          </w:p>
        </w:tc>
        <w:tc>
          <w:tcPr>
            <w:tcW w:w="1842" w:type="dxa"/>
          </w:tcPr>
          <w:p w14:paraId="416E63A1" w14:textId="77777777" w:rsidR="00A210FF" w:rsidRPr="008416CF" w:rsidRDefault="00A210FF" w:rsidP="001B6D18">
            <w:pPr>
              <w:autoSpaceDE w:val="0"/>
              <w:autoSpaceDN w:val="0"/>
              <w:adjustRightInd w:val="0"/>
              <w:jc w:val="both"/>
              <w:rPr>
                <w:b/>
                <w:sz w:val="20"/>
                <w:szCs w:val="20"/>
              </w:rPr>
            </w:pPr>
          </w:p>
        </w:tc>
        <w:tc>
          <w:tcPr>
            <w:tcW w:w="1245" w:type="dxa"/>
          </w:tcPr>
          <w:p w14:paraId="42F100FD" w14:textId="77777777" w:rsidR="00A210FF" w:rsidRPr="008416CF" w:rsidRDefault="00A210FF" w:rsidP="001B6D18">
            <w:pPr>
              <w:autoSpaceDE w:val="0"/>
              <w:autoSpaceDN w:val="0"/>
              <w:adjustRightInd w:val="0"/>
              <w:jc w:val="both"/>
              <w:rPr>
                <w:b/>
                <w:sz w:val="20"/>
                <w:szCs w:val="20"/>
              </w:rPr>
            </w:pPr>
          </w:p>
        </w:tc>
        <w:tc>
          <w:tcPr>
            <w:tcW w:w="2441" w:type="dxa"/>
          </w:tcPr>
          <w:p w14:paraId="32BFBA29" w14:textId="77777777" w:rsidR="00A210FF" w:rsidRPr="008416CF" w:rsidRDefault="00A210FF" w:rsidP="001B6D18">
            <w:pPr>
              <w:autoSpaceDE w:val="0"/>
              <w:autoSpaceDN w:val="0"/>
              <w:adjustRightInd w:val="0"/>
              <w:jc w:val="both"/>
              <w:rPr>
                <w:b/>
                <w:sz w:val="20"/>
                <w:szCs w:val="20"/>
              </w:rPr>
            </w:pPr>
          </w:p>
        </w:tc>
      </w:tr>
      <w:tr w:rsidR="00A210FF" w:rsidRPr="008416CF" w14:paraId="42792CEE" w14:textId="77777777" w:rsidTr="001B6D18">
        <w:trPr>
          <w:trHeight w:val="238"/>
        </w:trPr>
        <w:tc>
          <w:tcPr>
            <w:tcW w:w="675" w:type="dxa"/>
            <w:vAlign w:val="center"/>
          </w:tcPr>
          <w:p w14:paraId="6AF50C9E" w14:textId="77777777" w:rsidR="00A210FF" w:rsidRPr="008416CF" w:rsidRDefault="00A210FF" w:rsidP="001B6D18">
            <w:pPr>
              <w:autoSpaceDE w:val="0"/>
              <w:autoSpaceDN w:val="0"/>
              <w:adjustRightInd w:val="0"/>
              <w:jc w:val="center"/>
              <w:rPr>
                <w:sz w:val="20"/>
                <w:szCs w:val="20"/>
              </w:rPr>
            </w:pPr>
            <w:r w:rsidRPr="008416CF">
              <w:rPr>
                <w:sz w:val="20"/>
                <w:szCs w:val="20"/>
              </w:rPr>
              <w:t>7</w:t>
            </w:r>
          </w:p>
        </w:tc>
        <w:tc>
          <w:tcPr>
            <w:tcW w:w="3009" w:type="dxa"/>
            <w:vAlign w:val="center"/>
          </w:tcPr>
          <w:p w14:paraId="55F1F466" w14:textId="77777777" w:rsidR="00A210FF" w:rsidRPr="008416CF" w:rsidRDefault="00A210FF" w:rsidP="001B6D18">
            <w:pPr>
              <w:autoSpaceDE w:val="0"/>
              <w:autoSpaceDN w:val="0"/>
              <w:adjustRightInd w:val="0"/>
              <w:rPr>
                <w:sz w:val="20"/>
                <w:szCs w:val="20"/>
              </w:rPr>
            </w:pPr>
            <w:r w:rsidRPr="008416CF">
              <w:rPr>
                <w:sz w:val="20"/>
                <w:szCs w:val="20"/>
              </w:rPr>
              <w:t>Pracownia EKG</w:t>
            </w:r>
          </w:p>
        </w:tc>
        <w:tc>
          <w:tcPr>
            <w:tcW w:w="1842" w:type="dxa"/>
          </w:tcPr>
          <w:p w14:paraId="3E39BD9A" w14:textId="77777777" w:rsidR="00A210FF" w:rsidRPr="008416CF" w:rsidRDefault="00A210FF" w:rsidP="001B6D18">
            <w:pPr>
              <w:autoSpaceDE w:val="0"/>
              <w:autoSpaceDN w:val="0"/>
              <w:adjustRightInd w:val="0"/>
              <w:jc w:val="both"/>
              <w:rPr>
                <w:b/>
                <w:sz w:val="20"/>
                <w:szCs w:val="20"/>
              </w:rPr>
            </w:pPr>
          </w:p>
        </w:tc>
        <w:tc>
          <w:tcPr>
            <w:tcW w:w="1245" w:type="dxa"/>
          </w:tcPr>
          <w:p w14:paraId="482BA0E6" w14:textId="77777777" w:rsidR="00A210FF" w:rsidRPr="008416CF" w:rsidRDefault="00A210FF" w:rsidP="001B6D18">
            <w:pPr>
              <w:autoSpaceDE w:val="0"/>
              <w:autoSpaceDN w:val="0"/>
              <w:adjustRightInd w:val="0"/>
              <w:jc w:val="both"/>
              <w:rPr>
                <w:b/>
                <w:sz w:val="20"/>
                <w:szCs w:val="20"/>
              </w:rPr>
            </w:pPr>
          </w:p>
        </w:tc>
        <w:tc>
          <w:tcPr>
            <w:tcW w:w="2441" w:type="dxa"/>
          </w:tcPr>
          <w:p w14:paraId="4CC87D3B" w14:textId="77777777" w:rsidR="00A210FF" w:rsidRPr="008416CF" w:rsidRDefault="00A210FF" w:rsidP="001B6D18">
            <w:pPr>
              <w:autoSpaceDE w:val="0"/>
              <w:autoSpaceDN w:val="0"/>
              <w:adjustRightInd w:val="0"/>
              <w:jc w:val="both"/>
              <w:rPr>
                <w:b/>
                <w:sz w:val="20"/>
                <w:szCs w:val="20"/>
              </w:rPr>
            </w:pPr>
          </w:p>
        </w:tc>
      </w:tr>
      <w:tr w:rsidR="00A210FF" w:rsidRPr="008416CF" w14:paraId="348C5F8B" w14:textId="77777777" w:rsidTr="001B6D18">
        <w:trPr>
          <w:trHeight w:val="244"/>
        </w:trPr>
        <w:tc>
          <w:tcPr>
            <w:tcW w:w="675" w:type="dxa"/>
            <w:vAlign w:val="center"/>
          </w:tcPr>
          <w:p w14:paraId="3DBD80E6" w14:textId="77777777" w:rsidR="00A210FF" w:rsidRPr="008416CF" w:rsidRDefault="00A210FF" w:rsidP="001B6D18">
            <w:pPr>
              <w:autoSpaceDE w:val="0"/>
              <w:autoSpaceDN w:val="0"/>
              <w:adjustRightInd w:val="0"/>
              <w:jc w:val="center"/>
              <w:rPr>
                <w:sz w:val="20"/>
                <w:szCs w:val="20"/>
              </w:rPr>
            </w:pPr>
            <w:r w:rsidRPr="008416CF">
              <w:rPr>
                <w:sz w:val="20"/>
                <w:szCs w:val="20"/>
              </w:rPr>
              <w:t>8</w:t>
            </w:r>
          </w:p>
        </w:tc>
        <w:tc>
          <w:tcPr>
            <w:tcW w:w="3009" w:type="dxa"/>
            <w:vAlign w:val="center"/>
          </w:tcPr>
          <w:p w14:paraId="2A06DA9D" w14:textId="77777777" w:rsidR="00A210FF" w:rsidRPr="008416CF" w:rsidRDefault="00A210FF" w:rsidP="001B6D18">
            <w:pPr>
              <w:autoSpaceDE w:val="0"/>
              <w:autoSpaceDN w:val="0"/>
              <w:adjustRightInd w:val="0"/>
              <w:rPr>
                <w:sz w:val="20"/>
                <w:szCs w:val="20"/>
              </w:rPr>
            </w:pPr>
            <w:r w:rsidRPr="008416CF">
              <w:rPr>
                <w:sz w:val="20"/>
                <w:szCs w:val="20"/>
              </w:rPr>
              <w:t>Laboratorium Analityczne</w:t>
            </w:r>
          </w:p>
        </w:tc>
        <w:tc>
          <w:tcPr>
            <w:tcW w:w="1842" w:type="dxa"/>
          </w:tcPr>
          <w:p w14:paraId="63FD7174" w14:textId="77777777" w:rsidR="00A210FF" w:rsidRPr="008416CF" w:rsidRDefault="00A210FF" w:rsidP="001B6D18">
            <w:pPr>
              <w:autoSpaceDE w:val="0"/>
              <w:autoSpaceDN w:val="0"/>
              <w:adjustRightInd w:val="0"/>
              <w:jc w:val="both"/>
              <w:rPr>
                <w:b/>
                <w:sz w:val="20"/>
                <w:szCs w:val="20"/>
              </w:rPr>
            </w:pPr>
          </w:p>
        </w:tc>
        <w:tc>
          <w:tcPr>
            <w:tcW w:w="1245" w:type="dxa"/>
          </w:tcPr>
          <w:p w14:paraId="0CF666BB" w14:textId="77777777" w:rsidR="00A210FF" w:rsidRPr="008416CF" w:rsidRDefault="00A210FF" w:rsidP="001B6D18">
            <w:pPr>
              <w:autoSpaceDE w:val="0"/>
              <w:autoSpaceDN w:val="0"/>
              <w:adjustRightInd w:val="0"/>
              <w:jc w:val="both"/>
              <w:rPr>
                <w:b/>
                <w:sz w:val="20"/>
                <w:szCs w:val="20"/>
              </w:rPr>
            </w:pPr>
          </w:p>
        </w:tc>
        <w:tc>
          <w:tcPr>
            <w:tcW w:w="2441" w:type="dxa"/>
          </w:tcPr>
          <w:p w14:paraId="63CFC383" w14:textId="77777777" w:rsidR="00A210FF" w:rsidRPr="008416CF" w:rsidRDefault="00A210FF" w:rsidP="001B6D18">
            <w:pPr>
              <w:autoSpaceDE w:val="0"/>
              <w:autoSpaceDN w:val="0"/>
              <w:adjustRightInd w:val="0"/>
              <w:jc w:val="both"/>
              <w:rPr>
                <w:b/>
                <w:sz w:val="20"/>
                <w:szCs w:val="20"/>
              </w:rPr>
            </w:pPr>
          </w:p>
        </w:tc>
      </w:tr>
      <w:tr w:rsidR="00A210FF" w:rsidRPr="008416CF" w14:paraId="6ED5D004" w14:textId="77777777" w:rsidTr="001B6D18">
        <w:trPr>
          <w:trHeight w:val="278"/>
        </w:trPr>
        <w:tc>
          <w:tcPr>
            <w:tcW w:w="675" w:type="dxa"/>
            <w:vAlign w:val="center"/>
          </w:tcPr>
          <w:p w14:paraId="083A2101" w14:textId="77777777" w:rsidR="00A210FF" w:rsidRPr="008416CF" w:rsidRDefault="00A210FF" w:rsidP="001B6D18">
            <w:pPr>
              <w:autoSpaceDE w:val="0"/>
              <w:autoSpaceDN w:val="0"/>
              <w:adjustRightInd w:val="0"/>
              <w:jc w:val="center"/>
              <w:rPr>
                <w:sz w:val="20"/>
                <w:szCs w:val="20"/>
              </w:rPr>
            </w:pPr>
            <w:r w:rsidRPr="008416CF">
              <w:rPr>
                <w:sz w:val="20"/>
                <w:szCs w:val="20"/>
              </w:rPr>
              <w:t>9</w:t>
            </w:r>
          </w:p>
        </w:tc>
        <w:tc>
          <w:tcPr>
            <w:tcW w:w="3009" w:type="dxa"/>
            <w:vAlign w:val="center"/>
          </w:tcPr>
          <w:p w14:paraId="3910DE1C" w14:textId="77777777" w:rsidR="00A210FF" w:rsidRPr="008416CF" w:rsidRDefault="00A210FF" w:rsidP="001B6D18">
            <w:pPr>
              <w:autoSpaceDE w:val="0"/>
              <w:autoSpaceDN w:val="0"/>
              <w:adjustRightInd w:val="0"/>
              <w:rPr>
                <w:sz w:val="20"/>
                <w:szCs w:val="20"/>
              </w:rPr>
            </w:pPr>
            <w:r w:rsidRPr="008416CF">
              <w:rPr>
                <w:sz w:val="20"/>
                <w:szCs w:val="20"/>
              </w:rPr>
              <w:t>Pracownia RTG</w:t>
            </w:r>
          </w:p>
        </w:tc>
        <w:tc>
          <w:tcPr>
            <w:tcW w:w="1842" w:type="dxa"/>
          </w:tcPr>
          <w:p w14:paraId="57259B3B" w14:textId="77777777" w:rsidR="00A210FF" w:rsidRPr="008416CF" w:rsidRDefault="00A210FF" w:rsidP="001B6D18">
            <w:pPr>
              <w:autoSpaceDE w:val="0"/>
              <w:autoSpaceDN w:val="0"/>
              <w:adjustRightInd w:val="0"/>
              <w:jc w:val="both"/>
              <w:rPr>
                <w:b/>
                <w:sz w:val="20"/>
                <w:szCs w:val="20"/>
              </w:rPr>
            </w:pPr>
          </w:p>
        </w:tc>
        <w:tc>
          <w:tcPr>
            <w:tcW w:w="1245" w:type="dxa"/>
          </w:tcPr>
          <w:p w14:paraId="58C11613" w14:textId="77777777" w:rsidR="00A210FF" w:rsidRPr="008416CF" w:rsidRDefault="00A210FF" w:rsidP="001B6D18">
            <w:pPr>
              <w:autoSpaceDE w:val="0"/>
              <w:autoSpaceDN w:val="0"/>
              <w:adjustRightInd w:val="0"/>
              <w:jc w:val="both"/>
              <w:rPr>
                <w:b/>
                <w:sz w:val="20"/>
                <w:szCs w:val="20"/>
              </w:rPr>
            </w:pPr>
          </w:p>
        </w:tc>
        <w:tc>
          <w:tcPr>
            <w:tcW w:w="2441" w:type="dxa"/>
          </w:tcPr>
          <w:p w14:paraId="0278C979" w14:textId="77777777" w:rsidR="00A210FF" w:rsidRPr="008416CF" w:rsidRDefault="00A210FF" w:rsidP="001B6D18">
            <w:pPr>
              <w:autoSpaceDE w:val="0"/>
              <w:autoSpaceDN w:val="0"/>
              <w:adjustRightInd w:val="0"/>
              <w:jc w:val="both"/>
              <w:rPr>
                <w:b/>
                <w:sz w:val="20"/>
                <w:szCs w:val="20"/>
              </w:rPr>
            </w:pPr>
          </w:p>
        </w:tc>
      </w:tr>
    </w:tbl>
    <w:p w14:paraId="0196993B" w14:textId="77777777" w:rsidR="00207186" w:rsidRPr="00207186" w:rsidRDefault="00207186" w:rsidP="00337A49">
      <w:pPr>
        <w:ind w:left="360"/>
        <w:rPr>
          <w:color w:val="FF0000"/>
        </w:rPr>
      </w:pPr>
    </w:p>
    <w:p w14:paraId="098123E2" w14:textId="77777777" w:rsidR="00AF1907" w:rsidRDefault="00AF1907" w:rsidP="00AF1907">
      <w:pPr>
        <w:ind w:left="3540" w:firstLine="708"/>
        <w:jc w:val="both"/>
        <w:rPr>
          <w:b/>
        </w:rPr>
      </w:pPr>
      <w:r>
        <w:rPr>
          <w:b/>
        </w:rPr>
        <w:t>§ 4</w:t>
      </w:r>
    </w:p>
    <w:p w14:paraId="3A4A5877" w14:textId="77777777" w:rsidR="00AF1907" w:rsidRDefault="00AF1907" w:rsidP="00AF1907">
      <w:pPr>
        <w:numPr>
          <w:ilvl w:val="0"/>
          <w:numId w:val="3"/>
        </w:numPr>
        <w:jc w:val="both"/>
      </w:pPr>
      <w:r>
        <w:t>Szkoła wobec PJSMP zobowiązana jest do:</w:t>
      </w:r>
    </w:p>
    <w:p w14:paraId="51309785" w14:textId="078B63B6" w:rsidR="00AF1907" w:rsidRDefault="00AF1907" w:rsidP="00AF1907">
      <w:pPr>
        <w:numPr>
          <w:ilvl w:val="1"/>
          <w:numId w:val="3"/>
        </w:numPr>
        <w:jc w:val="both"/>
      </w:pPr>
      <w:r>
        <w:t>wydawania skierowań na badania lekarskie zgodnych z rozporządzeniem</w:t>
      </w:r>
      <w:r w:rsidR="00731991" w:rsidRPr="00731991">
        <w:t xml:space="preserve"> </w:t>
      </w:r>
      <w:r w:rsidR="00902528">
        <w:t xml:space="preserve">      </w:t>
      </w:r>
      <w:r w:rsidR="0088244D">
        <w:t xml:space="preserve">       </w:t>
      </w:r>
      <w:r w:rsidR="00902528">
        <w:t xml:space="preserve">      </w:t>
      </w:r>
      <w:r w:rsidR="00731991" w:rsidRPr="00731991">
        <w:t>o którym mowa w § 1 ust. 3 lit. b U</w:t>
      </w:r>
      <w:r w:rsidR="00731991">
        <w:t>mowy,</w:t>
      </w:r>
    </w:p>
    <w:p w14:paraId="5031BA02" w14:textId="77777777" w:rsidR="00AF1907" w:rsidRDefault="00AF1907" w:rsidP="00AF1907">
      <w:pPr>
        <w:numPr>
          <w:ilvl w:val="1"/>
          <w:numId w:val="3"/>
        </w:numPr>
        <w:jc w:val="both"/>
      </w:pPr>
      <w:r>
        <w:t xml:space="preserve">sporządzenia ogólnego opisu miejsca odbywania praktycznej nauki zawodu wraz z informacją o występujących w tym miejscu czynnikach szkodliwych, uciążliwych lub niebezpiecznych dla zdrowia. Opis powyższy stanowi </w:t>
      </w:r>
      <w:r>
        <w:rPr>
          <w:b/>
          <w:bCs/>
        </w:rPr>
        <w:t>załącznik nr 1</w:t>
      </w:r>
      <w:r w:rsidR="00731991">
        <w:t xml:space="preserve"> </w:t>
      </w:r>
      <w:r w:rsidR="00731991">
        <w:br/>
        <w:t>do umowy</w:t>
      </w:r>
    </w:p>
    <w:p w14:paraId="1EB9BFC3" w14:textId="77777777" w:rsidR="00AF1907" w:rsidRDefault="00AF1907" w:rsidP="00AF1907">
      <w:pPr>
        <w:numPr>
          <w:ilvl w:val="1"/>
          <w:numId w:val="3"/>
        </w:numPr>
        <w:jc w:val="both"/>
      </w:pPr>
      <w:r>
        <w:t xml:space="preserve">przekazywania informacji o występowaniu czynników szkodliwych lub warunków uciążliwych dla zdrowia wraz z aktualnymi wynikami badań i pomiarów tych czynników, </w:t>
      </w:r>
    </w:p>
    <w:p w14:paraId="56FE57EE" w14:textId="77777777" w:rsidR="00AF1907" w:rsidRDefault="00AF1907" w:rsidP="00AF1907">
      <w:pPr>
        <w:numPr>
          <w:ilvl w:val="1"/>
          <w:numId w:val="3"/>
        </w:numPr>
        <w:jc w:val="both"/>
      </w:pPr>
      <w:r>
        <w:t>zapewnienia możliwości przeglądu miejsc praktycznej nauki zawodu w celu dokonania oceny warunków pobierania nauki oraz zapewnienia możliwości weryfikowania informacji o występowaniu czynników szkodliwych lub warunków uciążliwych dla zdrowia,</w:t>
      </w:r>
    </w:p>
    <w:p w14:paraId="76803939" w14:textId="77777777" w:rsidR="00AF1907" w:rsidRDefault="00AF1907" w:rsidP="00AF1907">
      <w:pPr>
        <w:numPr>
          <w:ilvl w:val="1"/>
          <w:numId w:val="3"/>
        </w:numPr>
        <w:jc w:val="both"/>
      </w:pPr>
      <w:r>
        <w:t>udostępnienia dokumentacji wyników kontroli warunków odbywania praktycznej nauki zawodu, w części odnoszącej się do ochrony zdrowia,</w:t>
      </w:r>
    </w:p>
    <w:p w14:paraId="302031E6" w14:textId="77777777" w:rsidR="00AF1907" w:rsidRDefault="00AF1907" w:rsidP="00AF1907">
      <w:pPr>
        <w:numPr>
          <w:ilvl w:val="1"/>
          <w:numId w:val="3"/>
        </w:numPr>
        <w:jc w:val="both"/>
      </w:pPr>
      <w:r>
        <w:t>prowadzenia ewidencji wydanych skierowań na badania lekarskie.</w:t>
      </w:r>
    </w:p>
    <w:p w14:paraId="5E271780" w14:textId="77777777" w:rsidR="00AF1907" w:rsidRDefault="00AF1907" w:rsidP="00AF1907">
      <w:pPr>
        <w:ind w:left="1080"/>
        <w:jc w:val="both"/>
      </w:pPr>
    </w:p>
    <w:p w14:paraId="1CBD6644" w14:textId="77777777" w:rsidR="00AF1907" w:rsidRDefault="00145612" w:rsidP="00AF1907">
      <w:pPr>
        <w:numPr>
          <w:ilvl w:val="0"/>
          <w:numId w:val="3"/>
        </w:numPr>
        <w:jc w:val="both"/>
      </w:pPr>
      <w:r>
        <w:t xml:space="preserve">Szkoła jest zobowiązana </w:t>
      </w:r>
      <w:r w:rsidR="00AF1907">
        <w:t xml:space="preserve">poinformować </w:t>
      </w:r>
      <w:r>
        <w:t xml:space="preserve">w formie pisemnej </w:t>
      </w:r>
      <w:r w:rsidR="00AF1907">
        <w:t xml:space="preserve">WOMP w terminie do </w:t>
      </w:r>
      <w:r w:rsidR="00AF1907">
        <w:br/>
      </w:r>
      <w:r w:rsidR="009605EE" w:rsidRPr="00EC3843">
        <w:t>dnia:</w:t>
      </w:r>
      <w:r w:rsidR="009605EE">
        <w:rPr>
          <w:b/>
        </w:rPr>
        <w:t xml:space="preserve"> </w:t>
      </w:r>
      <w:r w:rsidR="00890F7D">
        <w:rPr>
          <w:b/>
        </w:rPr>
        <w:t>……………..</w:t>
      </w:r>
      <w:r w:rsidR="00AF1907" w:rsidRPr="00EC3843">
        <w:t xml:space="preserve"> </w:t>
      </w:r>
      <w:r w:rsidR="00AF1907">
        <w:t>o istotnych zmianach dotyczących ilości kandydatów/uczniów do    przebadania.</w:t>
      </w:r>
    </w:p>
    <w:p w14:paraId="2908ED3C" w14:textId="77777777" w:rsidR="00AF1907" w:rsidRDefault="00AF1907" w:rsidP="00AF1907">
      <w:pPr>
        <w:ind w:left="3540" w:firstLine="708"/>
        <w:jc w:val="both"/>
        <w:rPr>
          <w:b/>
        </w:rPr>
      </w:pPr>
      <w:r>
        <w:rPr>
          <w:b/>
        </w:rPr>
        <w:t>§ 5</w:t>
      </w:r>
    </w:p>
    <w:p w14:paraId="5681E8EB" w14:textId="77777777" w:rsidR="00AF1907" w:rsidRDefault="00AF1907" w:rsidP="00AF1907">
      <w:pPr>
        <w:jc w:val="both"/>
      </w:pPr>
      <w:r>
        <w:t>Na podstawie niniejszej umowy badaniami określonymi w § 1 objętych będzie nie więcej niż …………..</w:t>
      </w:r>
      <w:r>
        <w:rPr>
          <w:b/>
        </w:rPr>
        <w:t xml:space="preserve">  </w:t>
      </w:r>
      <w:r>
        <w:t xml:space="preserve">kandydatów/uczniów. Zmiana ilości osób badanych powyżej limitu może nastąpić na podstawie wyjątkowych okoliczności, których strony nie mogły przewidzieć </w:t>
      </w:r>
      <w:r>
        <w:br/>
        <w:t xml:space="preserve">w chwili przystąpienia do konkursu i zawarcia umowy pomimo zachowania należytej staranności. Zmiana powyższa może nastąpić na podstawie aneksu do umowy, po jej zaakceptowaniu przez WOMP oraz pod warunkiem zabezpieczenia na ten cel środków finansowych przez Zarząd Województwa Świętokrzyskiego. </w:t>
      </w:r>
    </w:p>
    <w:p w14:paraId="50D15C35" w14:textId="77777777" w:rsidR="00AF1907" w:rsidRDefault="00AF1907" w:rsidP="00AF1907">
      <w:pPr>
        <w:jc w:val="both"/>
        <w:rPr>
          <w:b/>
        </w:rPr>
      </w:pPr>
    </w:p>
    <w:p w14:paraId="0ACB391F" w14:textId="77777777" w:rsidR="00AF1907" w:rsidRDefault="00AF1907" w:rsidP="00AF1907">
      <w:pPr>
        <w:ind w:left="3540" w:firstLine="708"/>
        <w:jc w:val="both"/>
        <w:rPr>
          <w:b/>
        </w:rPr>
      </w:pPr>
      <w:r>
        <w:rPr>
          <w:b/>
        </w:rPr>
        <w:t>§ 6</w:t>
      </w:r>
    </w:p>
    <w:p w14:paraId="315B01E6" w14:textId="77777777" w:rsidR="00AF1907" w:rsidRPr="00521EDB" w:rsidRDefault="00AF1907" w:rsidP="00AF1907">
      <w:pPr>
        <w:pStyle w:val="Nagwek"/>
        <w:numPr>
          <w:ilvl w:val="0"/>
          <w:numId w:val="4"/>
        </w:numPr>
        <w:tabs>
          <w:tab w:val="clear" w:pos="4536"/>
          <w:tab w:val="clear" w:pos="9072"/>
        </w:tabs>
        <w:jc w:val="both"/>
        <w:rPr>
          <w:rFonts w:ascii="Arial" w:hAnsi="Arial" w:cs="Arial"/>
          <w:sz w:val="22"/>
          <w:szCs w:val="22"/>
        </w:rPr>
      </w:pPr>
      <w:r>
        <w:rPr>
          <w:rFonts w:ascii="Arial" w:hAnsi="Arial" w:cs="Arial"/>
          <w:sz w:val="22"/>
          <w:szCs w:val="22"/>
        </w:rPr>
        <w:t xml:space="preserve">Należność za wykonane badania refundowana będzie ze środków finansowych zabezpieczonych przez Zarząd Województwa Świętokrzyskiego, a znajdujących się </w:t>
      </w:r>
      <w:r>
        <w:rPr>
          <w:rFonts w:ascii="Arial" w:hAnsi="Arial" w:cs="Arial"/>
          <w:sz w:val="22"/>
          <w:szCs w:val="22"/>
        </w:rPr>
        <w:br/>
        <w:t xml:space="preserve">w dyspozycji WOMP, według stawki zryczałtowanej </w:t>
      </w:r>
      <w:r w:rsidR="00054FF3">
        <w:rPr>
          <w:rFonts w:ascii="Arial" w:hAnsi="Arial" w:cs="Arial"/>
          <w:b/>
          <w:sz w:val="22"/>
          <w:szCs w:val="22"/>
        </w:rPr>
        <w:t>w kwocie………….</w:t>
      </w:r>
      <w:r>
        <w:rPr>
          <w:rFonts w:ascii="Arial" w:hAnsi="Arial" w:cs="Arial"/>
          <w:b/>
          <w:sz w:val="22"/>
          <w:szCs w:val="22"/>
        </w:rPr>
        <w:t xml:space="preserve"> brutto </w:t>
      </w:r>
      <w:r w:rsidRPr="00521EDB">
        <w:rPr>
          <w:rFonts w:ascii="Arial" w:hAnsi="Arial" w:cs="Arial"/>
          <w:sz w:val="22"/>
          <w:szCs w:val="22"/>
        </w:rPr>
        <w:t>za jedną osobę zbadaną. Podaną wyżej kwotę można wydatkować tylko jeden raz na badanie</w:t>
      </w:r>
      <w:r w:rsidRPr="00521EDB">
        <w:rPr>
          <w:rFonts w:ascii="Arial" w:hAnsi="Arial" w:cs="Arial"/>
          <w:b/>
          <w:sz w:val="22"/>
          <w:szCs w:val="22"/>
        </w:rPr>
        <w:t xml:space="preserve">  </w:t>
      </w:r>
      <w:r w:rsidRPr="00521EDB">
        <w:rPr>
          <w:rFonts w:ascii="Arial" w:hAnsi="Arial" w:cs="Arial"/>
          <w:sz w:val="22"/>
          <w:szCs w:val="22"/>
        </w:rPr>
        <w:t>danego</w:t>
      </w:r>
      <w:r w:rsidRPr="00521EDB">
        <w:rPr>
          <w:rFonts w:ascii="Arial" w:hAnsi="Arial" w:cs="Arial"/>
          <w:b/>
          <w:sz w:val="22"/>
          <w:szCs w:val="22"/>
        </w:rPr>
        <w:t xml:space="preserve"> </w:t>
      </w:r>
      <w:r w:rsidRPr="00521EDB">
        <w:rPr>
          <w:rFonts w:ascii="Arial" w:hAnsi="Arial" w:cs="Arial"/>
          <w:sz w:val="22"/>
          <w:szCs w:val="22"/>
        </w:rPr>
        <w:t>kandydata/ucznia/studenta/niepełnoletniego słuchacza kwalifikacyjnych</w:t>
      </w:r>
      <w:r w:rsidRPr="00521EDB">
        <w:rPr>
          <w:rStyle w:val="h2"/>
          <w:rFonts w:ascii="Arial" w:hAnsi="Arial" w:cs="Arial"/>
        </w:rPr>
        <w:t xml:space="preserve"> </w:t>
      </w:r>
      <w:r w:rsidRPr="00521EDB">
        <w:rPr>
          <w:rStyle w:val="h2"/>
          <w:rFonts w:ascii="Arial" w:hAnsi="Arial" w:cs="Arial"/>
          <w:sz w:val="22"/>
          <w:szCs w:val="22"/>
        </w:rPr>
        <w:t>kursów zawodowych.</w:t>
      </w:r>
    </w:p>
    <w:p w14:paraId="0B64B1C5" w14:textId="77777777" w:rsidR="00AF1907" w:rsidRDefault="00AF1907" w:rsidP="00AF1907">
      <w:pPr>
        <w:pStyle w:val="Nagwek"/>
        <w:numPr>
          <w:ilvl w:val="0"/>
          <w:numId w:val="4"/>
        </w:numPr>
        <w:tabs>
          <w:tab w:val="clear" w:pos="4536"/>
          <w:tab w:val="clear" w:pos="9072"/>
        </w:tabs>
        <w:jc w:val="both"/>
        <w:rPr>
          <w:rFonts w:ascii="Arial" w:hAnsi="Arial" w:cs="Arial"/>
          <w:sz w:val="22"/>
          <w:szCs w:val="22"/>
        </w:rPr>
      </w:pPr>
      <w:r>
        <w:rPr>
          <w:rFonts w:ascii="Arial" w:hAnsi="Arial" w:cs="Arial"/>
          <w:sz w:val="22"/>
          <w:szCs w:val="22"/>
        </w:rPr>
        <w:t>Podstawą do przekazania należności są prawidłowo wystawione faktury/rachunki przez PJSMP na WOMP z podaniem w treści faktury/rachunku pełnej nazwy i adresu Szkoły ilości wykonanych badań ze wskazaniem statusu badanych (np. kandydat do szkoły). Integralną częścią faktury/rachunku jest imienny wykaz przebadanych kandydatów do szkoły potwierdzony przez Kierownika PJSMP i Dyrektora Szkoły lub osoby przez niego wyznaczon</w:t>
      </w:r>
      <w:r w:rsidRPr="00013CF9">
        <w:rPr>
          <w:rFonts w:ascii="Arial" w:hAnsi="Arial" w:cs="Arial"/>
          <w:sz w:val="22"/>
          <w:szCs w:val="22"/>
        </w:rPr>
        <w:t>e</w:t>
      </w:r>
      <w:r>
        <w:rPr>
          <w:rFonts w:ascii="Arial" w:hAnsi="Arial" w:cs="Arial"/>
          <w:sz w:val="22"/>
          <w:szCs w:val="22"/>
        </w:rPr>
        <w:t>, którego wzór stanowi</w:t>
      </w:r>
      <w:r>
        <w:rPr>
          <w:rFonts w:ascii="Arial" w:hAnsi="Arial" w:cs="Arial"/>
          <w:b/>
          <w:sz w:val="22"/>
          <w:szCs w:val="22"/>
        </w:rPr>
        <w:t xml:space="preserve"> załącznik nr 2</w:t>
      </w:r>
      <w:r>
        <w:rPr>
          <w:rFonts w:ascii="Arial" w:hAnsi="Arial" w:cs="Arial"/>
          <w:sz w:val="22"/>
          <w:szCs w:val="22"/>
        </w:rPr>
        <w:t xml:space="preserve"> do umowy.</w:t>
      </w:r>
    </w:p>
    <w:p w14:paraId="3104848B" w14:textId="0A92CBB5" w:rsidR="00AF1907" w:rsidRPr="00902528" w:rsidRDefault="00AF1907" w:rsidP="00AF1907">
      <w:pPr>
        <w:pStyle w:val="Nagwek"/>
        <w:numPr>
          <w:ilvl w:val="0"/>
          <w:numId w:val="4"/>
        </w:numPr>
        <w:tabs>
          <w:tab w:val="clear" w:pos="4536"/>
          <w:tab w:val="clear" w:pos="9072"/>
        </w:tabs>
        <w:jc w:val="both"/>
        <w:rPr>
          <w:rFonts w:ascii="Arial" w:hAnsi="Arial" w:cs="Arial"/>
          <w:sz w:val="22"/>
          <w:szCs w:val="22"/>
        </w:rPr>
      </w:pPr>
      <w:r>
        <w:rPr>
          <w:rFonts w:ascii="Arial" w:hAnsi="Arial" w:cs="Arial"/>
          <w:sz w:val="22"/>
          <w:szCs w:val="22"/>
        </w:rPr>
        <w:t>Faktury/rachunki o których wyżej mowa przedkładane będą</w:t>
      </w:r>
      <w:r w:rsidR="00145612">
        <w:rPr>
          <w:rFonts w:ascii="Arial" w:hAnsi="Arial" w:cs="Arial"/>
          <w:sz w:val="22"/>
          <w:szCs w:val="22"/>
        </w:rPr>
        <w:t xml:space="preserve"> WOMP</w:t>
      </w:r>
      <w:r>
        <w:rPr>
          <w:rFonts w:ascii="Arial" w:hAnsi="Arial" w:cs="Arial"/>
          <w:sz w:val="22"/>
          <w:szCs w:val="22"/>
        </w:rPr>
        <w:t xml:space="preserve"> do </w:t>
      </w:r>
      <w:r>
        <w:rPr>
          <w:rFonts w:ascii="Arial" w:hAnsi="Arial" w:cs="Arial"/>
          <w:b/>
          <w:sz w:val="22"/>
          <w:szCs w:val="22"/>
        </w:rPr>
        <w:t>15 i 30 dnia każdego miesiąca</w:t>
      </w:r>
      <w:r w:rsidR="00145612">
        <w:rPr>
          <w:rFonts w:ascii="Arial" w:hAnsi="Arial" w:cs="Arial"/>
          <w:b/>
          <w:sz w:val="22"/>
          <w:szCs w:val="22"/>
        </w:rPr>
        <w:t>,</w:t>
      </w:r>
      <w:r>
        <w:rPr>
          <w:rFonts w:ascii="Arial" w:hAnsi="Arial" w:cs="Arial"/>
          <w:sz w:val="22"/>
          <w:szCs w:val="22"/>
        </w:rPr>
        <w:t xml:space="preserve"> przy czym za ostatni miesiąc trwania umowy faktura/rachunek p</w:t>
      </w:r>
      <w:r w:rsidR="00145612">
        <w:rPr>
          <w:rFonts w:ascii="Arial" w:hAnsi="Arial" w:cs="Arial"/>
          <w:sz w:val="22"/>
          <w:szCs w:val="22"/>
        </w:rPr>
        <w:t>owinna wpłynąć do WOMP w terminie</w:t>
      </w:r>
      <w:r>
        <w:rPr>
          <w:rFonts w:ascii="Arial" w:hAnsi="Arial" w:cs="Arial"/>
          <w:sz w:val="22"/>
          <w:szCs w:val="22"/>
        </w:rPr>
        <w:t xml:space="preserve"> do</w:t>
      </w:r>
      <w:r w:rsidR="00145612">
        <w:rPr>
          <w:rFonts w:ascii="Arial" w:hAnsi="Arial" w:cs="Arial"/>
          <w:sz w:val="22"/>
          <w:szCs w:val="22"/>
        </w:rPr>
        <w:t xml:space="preserve"> dnia</w:t>
      </w:r>
      <w:r>
        <w:rPr>
          <w:rFonts w:ascii="Arial" w:hAnsi="Arial" w:cs="Arial"/>
          <w:sz w:val="22"/>
          <w:szCs w:val="22"/>
        </w:rPr>
        <w:t xml:space="preserve"> </w:t>
      </w:r>
      <w:r w:rsidR="00C53163">
        <w:rPr>
          <w:rFonts w:ascii="Arial" w:hAnsi="Arial" w:cs="Arial"/>
          <w:b/>
          <w:sz w:val="22"/>
          <w:szCs w:val="22"/>
        </w:rPr>
        <w:t>16.10.2021</w:t>
      </w:r>
      <w:r w:rsidR="00930B4D">
        <w:rPr>
          <w:rFonts w:ascii="Arial" w:hAnsi="Arial" w:cs="Arial"/>
          <w:b/>
          <w:sz w:val="22"/>
          <w:szCs w:val="22"/>
        </w:rPr>
        <w:t>r.</w:t>
      </w:r>
    </w:p>
    <w:p w14:paraId="3C9D8D6F" w14:textId="65301712" w:rsidR="00902528" w:rsidRPr="00902528" w:rsidRDefault="00902528" w:rsidP="00AF1907">
      <w:pPr>
        <w:pStyle w:val="Nagwek"/>
        <w:numPr>
          <w:ilvl w:val="0"/>
          <w:numId w:val="4"/>
        </w:numPr>
        <w:tabs>
          <w:tab w:val="clear" w:pos="4536"/>
          <w:tab w:val="clear" w:pos="9072"/>
        </w:tabs>
        <w:jc w:val="both"/>
        <w:rPr>
          <w:rFonts w:ascii="Arial" w:hAnsi="Arial" w:cs="Arial"/>
          <w:sz w:val="22"/>
          <w:szCs w:val="22"/>
        </w:rPr>
      </w:pPr>
      <w:r w:rsidRPr="00902528">
        <w:rPr>
          <w:rFonts w:ascii="Arial" w:hAnsi="Arial" w:cs="Arial"/>
          <w:sz w:val="22"/>
          <w:szCs w:val="22"/>
        </w:rPr>
        <w:t>Termin płatności wynosi  30 dni od dnia otrzymania</w:t>
      </w:r>
      <w:r>
        <w:rPr>
          <w:rFonts w:ascii="Arial" w:hAnsi="Arial" w:cs="Arial"/>
          <w:sz w:val="22"/>
          <w:szCs w:val="22"/>
        </w:rPr>
        <w:t xml:space="preserve"> </w:t>
      </w:r>
      <w:r w:rsidRPr="00902528">
        <w:rPr>
          <w:rFonts w:ascii="Arial" w:hAnsi="Arial" w:cs="Arial"/>
          <w:sz w:val="22"/>
          <w:szCs w:val="22"/>
        </w:rPr>
        <w:t xml:space="preserve">prawidłowo wystawionej faktury/rachunku. Zapłata nastąpi przelewem na konto wskazane na fakturze/rachunku.  </w:t>
      </w:r>
    </w:p>
    <w:p w14:paraId="11172DC3" w14:textId="77777777" w:rsidR="00AF1907" w:rsidRDefault="00AF1907" w:rsidP="00AF1907">
      <w:pPr>
        <w:pStyle w:val="Nagwek"/>
        <w:tabs>
          <w:tab w:val="clear" w:pos="4536"/>
          <w:tab w:val="clear" w:pos="9072"/>
        </w:tabs>
        <w:ind w:left="450"/>
        <w:jc w:val="center"/>
        <w:rPr>
          <w:rFonts w:ascii="Arial" w:hAnsi="Arial" w:cs="Arial"/>
          <w:b/>
          <w:bCs/>
          <w:sz w:val="22"/>
          <w:szCs w:val="22"/>
        </w:rPr>
      </w:pPr>
      <w:r>
        <w:rPr>
          <w:rFonts w:ascii="Arial" w:hAnsi="Arial" w:cs="Arial"/>
          <w:b/>
          <w:bCs/>
          <w:sz w:val="22"/>
          <w:szCs w:val="22"/>
        </w:rPr>
        <w:t>§ 7</w:t>
      </w:r>
    </w:p>
    <w:p w14:paraId="4143574C" w14:textId="77777777" w:rsidR="00AF1907" w:rsidRPr="00942CCE" w:rsidRDefault="00AF1907" w:rsidP="00AF1907">
      <w:pPr>
        <w:pStyle w:val="Nagwek"/>
        <w:tabs>
          <w:tab w:val="clear" w:pos="4536"/>
          <w:tab w:val="clear" w:pos="9072"/>
        </w:tabs>
        <w:jc w:val="both"/>
        <w:rPr>
          <w:rFonts w:ascii="Arial" w:hAnsi="Arial" w:cs="Arial"/>
          <w:sz w:val="22"/>
          <w:szCs w:val="22"/>
        </w:rPr>
      </w:pPr>
      <w:r>
        <w:rPr>
          <w:rFonts w:ascii="Arial" w:hAnsi="Arial" w:cs="Arial"/>
          <w:sz w:val="22"/>
          <w:szCs w:val="22"/>
        </w:rPr>
        <w:t>WOMP zastrzega sobie prawo wykonania kontroli zakresu, ilości i jakości przeprowadzonych badań, o których mowa w § 1 ust.1 umowy. W takim przypadku pozostałe strony umowy mają obowiązek, na żądanie WOMP, przedstawić wszelką dokumentację, także medyczną pozwalającą zweryfikować dane wskazane przez PJSMP w fakturze/rachunku i załącznikach do niej. Kontrolę będą przeprowadzać pracownicy WOMP.</w:t>
      </w:r>
    </w:p>
    <w:p w14:paraId="4F78E70F" w14:textId="77777777" w:rsidR="00AF1907" w:rsidRDefault="00AF1907" w:rsidP="00AF1907">
      <w:pPr>
        <w:jc w:val="center"/>
        <w:rPr>
          <w:b/>
        </w:rPr>
      </w:pPr>
      <w:r>
        <w:rPr>
          <w:b/>
        </w:rPr>
        <w:t xml:space="preserve">    § 8</w:t>
      </w:r>
    </w:p>
    <w:p w14:paraId="6C450C3A" w14:textId="77777777" w:rsidR="00AF1907" w:rsidRDefault="00AF1907" w:rsidP="00AF1907">
      <w:pPr>
        <w:jc w:val="both"/>
      </w:pPr>
      <w:r>
        <w:lastRenderedPageBreak/>
        <w:t xml:space="preserve">W przypadku stwierdzenia w trakcie kontroli o której mowa w § 7, istotnych nieprawidłowości związanych z realizacją zadań objętych umową PJSMP zobowiązana jest do zwrotu świadczeń finansowych w </w:t>
      </w:r>
      <w:r w:rsidR="008153A1">
        <w:t>terminie 14 dni od daty otrzymania</w:t>
      </w:r>
      <w:r w:rsidR="009774DE">
        <w:t xml:space="preserve"> wezwania</w:t>
      </w:r>
      <w:r>
        <w:br/>
        <w:t>na rachunek bankowy WOMP nr: Bank Spółdzielczy w Kielcach:</w:t>
      </w:r>
    </w:p>
    <w:p w14:paraId="2FF30ED9" w14:textId="77777777" w:rsidR="00AF1907" w:rsidRDefault="00AF1907" w:rsidP="00AF1907">
      <w:pPr>
        <w:jc w:val="both"/>
        <w:rPr>
          <w:b/>
        </w:rPr>
      </w:pPr>
      <w:r>
        <w:rPr>
          <w:b/>
        </w:rPr>
        <w:t>10 84930004 0000 0060 2927 0001</w:t>
      </w:r>
    </w:p>
    <w:p w14:paraId="1A8D6563" w14:textId="77777777" w:rsidR="00AF1907" w:rsidRDefault="00AF1907" w:rsidP="00AF1907">
      <w:pPr>
        <w:jc w:val="center"/>
        <w:rPr>
          <w:b/>
        </w:rPr>
      </w:pPr>
      <w:r>
        <w:rPr>
          <w:b/>
        </w:rPr>
        <w:t>§ 9</w:t>
      </w:r>
    </w:p>
    <w:p w14:paraId="3D77568A" w14:textId="77777777" w:rsidR="00AF1907" w:rsidRDefault="00AF1907" w:rsidP="00AF1907">
      <w:pPr>
        <w:jc w:val="both"/>
      </w:pPr>
      <w:r>
        <w:rPr>
          <w:b/>
        </w:rPr>
        <w:t>Umowa zostaje zawarta na</w:t>
      </w:r>
      <w:r w:rsidR="009605EE">
        <w:rPr>
          <w:b/>
        </w:rPr>
        <w:t xml:space="preserve"> czas </w:t>
      </w:r>
      <w:r w:rsidR="00890F7D">
        <w:rPr>
          <w:b/>
        </w:rPr>
        <w:t>od dnia …………..</w:t>
      </w:r>
      <w:r w:rsidR="009605EE" w:rsidRPr="00EC3843">
        <w:rPr>
          <w:b/>
        </w:rPr>
        <w:t xml:space="preserve"> </w:t>
      </w:r>
      <w:r w:rsidR="003F0C1C" w:rsidRPr="00EC3843">
        <w:rPr>
          <w:b/>
        </w:rPr>
        <w:t xml:space="preserve">do  </w:t>
      </w:r>
      <w:r w:rsidR="00890F7D">
        <w:rPr>
          <w:b/>
        </w:rPr>
        <w:t>dnia …………………...</w:t>
      </w:r>
      <w:r w:rsidR="009605EE" w:rsidRPr="00EC3843">
        <w:rPr>
          <w:b/>
        </w:rPr>
        <w:t>r.</w:t>
      </w:r>
      <w:r w:rsidRPr="00EC3843">
        <w:t xml:space="preserve"> </w:t>
      </w:r>
    </w:p>
    <w:p w14:paraId="263FC23A" w14:textId="77777777" w:rsidR="00AF1907" w:rsidRPr="00942CCE" w:rsidRDefault="00AF1907" w:rsidP="00AF1907">
      <w:pPr>
        <w:autoSpaceDE w:val="0"/>
        <w:autoSpaceDN w:val="0"/>
        <w:adjustRightInd w:val="0"/>
        <w:ind w:left="360"/>
        <w:jc w:val="both"/>
      </w:pPr>
      <w:r>
        <w:t>,</w:t>
      </w:r>
    </w:p>
    <w:p w14:paraId="770AF998" w14:textId="77777777" w:rsidR="00AF1907" w:rsidRDefault="00AF1907" w:rsidP="00AF1907">
      <w:pPr>
        <w:jc w:val="center"/>
        <w:rPr>
          <w:b/>
        </w:rPr>
      </w:pPr>
      <w:r>
        <w:rPr>
          <w:b/>
        </w:rPr>
        <w:t>§ 10</w:t>
      </w:r>
    </w:p>
    <w:p w14:paraId="7B1623D7" w14:textId="77777777" w:rsidR="00AF1907" w:rsidRDefault="00145612" w:rsidP="00711184">
      <w:pPr>
        <w:pStyle w:val="Akapitzlist"/>
        <w:numPr>
          <w:ilvl w:val="0"/>
          <w:numId w:val="5"/>
        </w:numPr>
        <w:jc w:val="both"/>
      </w:pPr>
      <w:r>
        <w:t xml:space="preserve">WOMP może wypowiedzieć Umowę </w:t>
      </w:r>
      <w:r w:rsidR="008153A1">
        <w:t>z</w:t>
      </w:r>
      <w:r w:rsidR="00711184">
        <w:t>a zachowaniem</w:t>
      </w:r>
      <w:r w:rsidR="00B8065E">
        <w:t xml:space="preserve"> 14</w:t>
      </w:r>
      <w:r w:rsidR="00711184">
        <w:t xml:space="preserve"> dniowego okresu wypowiedzenia, w przypadku:</w:t>
      </w:r>
    </w:p>
    <w:p w14:paraId="1B69F767" w14:textId="77777777" w:rsidR="00AF1907" w:rsidRDefault="00AF1907" w:rsidP="00AF1907">
      <w:pPr>
        <w:numPr>
          <w:ilvl w:val="1"/>
          <w:numId w:val="5"/>
        </w:numPr>
        <w:jc w:val="both"/>
      </w:pPr>
      <w:r>
        <w:t>nierzetelnego wykonywania badań lekarskich,</w:t>
      </w:r>
    </w:p>
    <w:p w14:paraId="4B44ED7A" w14:textId="77777777" w:rsidR="00AF1907" w:rsidRDefault="00AF1907" w:rsidP="00AF1907">
      <w:pPr>
        <w:numPr>
          <w:ilvl w:val="1"/>
          <w:numId w:val="5"/>
        </w:numPr>
        <w:jc w:val="both"/>
      </w:pPr>
      <w:r>
        <w:t>nieprawidłowości w prowadzeniu dokumentacji medycznej,</w:t>
      </w:r>
    </w:p>
    <w:p w14:paraId="2E5750F7" w14:textId="77777777" w:rsidR="00AF1907" w:rsidRDefault="00AF1907" w:rsidP="00AF1907">
      <w:pPr>
        <w:numPr>
          <w:ilvl w:val="1"/>
          <w:numId w:val="5"/>
        </w:numPr>
        <w:jc w:val="both"/>
      </w:pPr>
      <w:r>
        <w:t>wykonywania badań w nieodpowiednich warunkach,</w:t>
      </w:r>
    </w:p>
    <w:p w14:paraId="66C9DFEE" w14:textId="77777777" w:rsidR="00AF1907" w:rsidRDefault="00AF1907" w:rsidP="00AF1907">
      <w:pPr>
        <w:numPr>
          <w:ilvl w:val="1"/>
          <w:numId w:val="5"/>
        </w:numPr>
        <w:jc w:val="both"/>
      </w:pPr>
      <w:r>
        <w:t>naruszenia terminu wykonania zadań i ich zafakturowania,</w:t>
      </w:r>
    </w:p>
    <w:p w14:paraId="69A0A33F" w14:textId="77777777" w:rsidR="00B8065E" w:rsidRDefault="00AF1907" w:rsidP="00B8065E">
      <w:pPr>
        <w:numPr>
          <w:ilvl w:val="1"/>
          <w:numId w:val="5"/>
        </w:numPr>
        <w:jc w:val="both"/>
      </w:pPr>
      <w:r>
        <w:t xml:space="preserve">stwierdzenia niezgodności danych zawartych w fakturze/rachunku </w:t>
      </w:r>
      <w:r>
        <w:br/>
        <w:t xml:space="preserve">i załącznikach do niej (co do ilości osób przebadanych, osób wskazanych imiennie) </w:t>
      </w:r>
      <w:r w:rsidR="00B8065E">
        <w:t>z kwotą brutto faktury/rachunku.</w:t>
      </w:r>
    </w:p>
    <w:p w14:paraId="52A39668" w14:textId="77777777" w:rsidR="005F2D02" w:rsidRDefault="00711184" w:rsidP="00711184">
      <w:pPr>
        <w:pStyle w:val="Akapitzlist"/>
        <w:numPr>
          <w:ilvl w:val="0"/>
          <w:numId w:val="5"/>
        </w:numPr>
        <w:jc w:val="both"/>
      </w:pPr>
      <w:r>
        <w:t xml:space="preserve">Umowa ulega rozwiązaniu </w:t>
      </w:r>
      <w:r w:rsidRPr="00711184">
        <w:t>wskutek oświadczenia jednej ze stron, bez zachowania okresu wypowiedzenia, w przypadku gdy druga strona</w:t>
      </w:r>
      <w:r w:rsidR="00B8065E">
        <w:t xml:space="preserve"> lub obie pozostałe strony,</w:t>
      </w:r>
      <w:r w:rsidRPr="00711184">
        <w:t xml:space="preserve"> rażąco narusza istotne postanowienia umowy.</w:t>
      </w:r>
    </w:p>
    <w:p w14:paraId="68CDEA8C" w14:textId="77777777" w:rsidR="005F2D02" w:rsidRPr="00EC3843" w:rsidRDefault="005F2D02" w:rsidP="005F2D02">
      <w:pPr>
        <w:ind w:left="710"/>
        <w:jc w:val="center"/>
        <w:rPr>
          <w:b/>
        </w:rPr>
      </w:pPr>
      <w:r w:rsidRPr="00EC3843">
        <w:rPr>
          <w:b/>
        </w:rPr>
        <w:t>§ 11</w:t>
      </w:r>
    </w:p>
    <w:p w14:paraId="3EABE3BC" w14:textId="77777777" w:rsidR="005F2D02" w:rsidRPr="00EC3843" w:rsidRDefault="005F2D02" w:rsidP="005F2D02">
      <w:pPr>
        <w:jc w:val="both"/>
      </w:pPr>
      <w:r w:rsidRPr="00EC3843">
        <w:t>W związku z rozporządzeniem Ministra Zdrowia z dnia 20 marca 2020 r. w sprawie ogłoszenia na obszarze Rzeczypospolitej Polskiej stanu epidemii (Dz. U. poz. 491 z późn. zm.) każda ze stron może wypowiedzieć niniejszą umowę lub domagać się jej zmiany albo zawi</w:t>
      </w:r>
      <w:r w:rsidR="00697696" w:rsidRPr="00EC3843">
        <w:t xml:space="preserve">eszenia w całości lub w części, jeżeli z </w:t>
      </w:r>
      <w:r w:rsidRPr="00EC3843">
        <w:t>przyczyny pozostają</w:t>
      </w:r>
      <w:r w:rsidR="00697696" w:rsidRPr="00EC3843">
        <w:t>cych</w:t>
      </w:r>
      <w:r w:rsidRPr="00EC3843">
        <w:t xml:space="preserve"> w związku z istniejącym stanem epidemii lub zmianami wprowadzonymi w tym zakresie przez odpowiednie wł</w:t>
      </w:r>
      <w:r w:rsidR="00697696" w:rsidRPr="00EC3843">
        <w:t>adze, nie będzie mogła wykonywać lub należycie wykonywać jej postanowień.</w:t>
      </w:r>
    </w:p>
    <w:p w14:paraId="0AAB3F65" w14:textId="77777777" w:rsidR="00AF1907" w:rsidRDefault="00697696" w:rsidP="00AF1907">
      <w:pPr>
        <w:pStyle w:val="Nagwek1"/>
        <w:jc w:val="center"/>
        <w:rPr>
          <w:sz w:val="22"/>
          <w:szCs w:val="22"/>
        </w:rPr>
      </w:pPr>
      <w:r>
        <w:rPr>
          <w:sz w:val="22"/>
          <w:szCs w:val="22"/>
        </w:rPr>
        <w:t xml:space="preserve">§ </w:t>
      </w:r>
      <w:r w:rsidRPr="00EC3843">
        <w:rPr>
          <w:sz w:val="22"/>
          <w:szCs w:val="22"/>
        </w:rPr>
        <w:t>12</w:t>
      </w:r>
    </w:p>
    <w:p w14:paraId="66ABC860" w14:textId="77777777" w:rsidR="00AF1907" w:rsidRDefault="00AF1907" w:rsidP="00AF1907">
      <w:pPr>
        <w:numPr>
          <w:ilvl w:val="0"/>
          <w:numId w:val="6"/>
        </w:numPr>
        <w:jc w:val="both"/>
      </w:pPr>
      <w:r>
        <w:t>Załączniki do umowy stanowią jej integralną część.</w:t>
      </w:r>
    </w:p>
    <w:p w14:paraId="6732FE0A" w14:textId="77777777" w:rsidR="00AF1907" w:rsidRPr="00942CCE" w:rsidRDefault="00AF1907" w:rsidP="00AF1907">
      <w:pPr>
        <w:numPr>
          <w:ilvl w:val="0"/>
          <w:numId w:val="6"/>
        </w:numPr>
        <w:jc w:val="both"/>
      </w:pPr>
      <w:r>
        <w:t>Wszystkie zmiany niniejszej umowy wymagają dla swojej ważności formy pisemnej.</w:t>
      </w:r>
    </w:p>
    <w:p w14:paraId="2A48A671" w14:textId="77777777" w:rsidR="00711184" w:rsidRDefault="00711184" w:rsidP="00AF1907">
      <w:pPr>
        <w:jc w:val="center"/>
        <w:rPr>
          <w:b/>
        </w:rPr>
      </w:pPr>
    </w:p>
    <w:p w14:paraId="40260A9A" w14:textId="77777777" w:rsidR="00711184" w:rsidRDefault="00711184" w:rsidP="00AF1907">
      <w:pPr>
        <w:jc w:val="center"/>
        <w:rPr>
          <w:b/>
        </w:rPr>
      </w:pPr>
    </w:p>
    <w:p w14:paraId="0E718FB6" w14:textId="77777777" w:rsidR="00AF1907" w:rsidRPr="00EC3843" w:rsidRDefault="00697696" w:rsidP="00AF1907">
      <w:pPr>
        <w:jc w:val="center"/>
        <w:rPr>
          <w:b/>
        </w:rPr>
      </w:pPr>
      <w:r>
        <w:rPr>
          <w:b/>
        </w:rPr>
        <w:t xml:space="preserve">§ </w:t>
      </w:r>
      <w:r w:rsidRPr="00EC3843">
        <w:rPr>
          <w:b/>
        </w:rPr>
        <w:t>13</w:t>
      </w:r>
    </w:p>
    <w:p w14:paraId="35A303D2" w14:textId="77777777" w:rsidR="00AF1907" w:rsidRPr="00942CCE" w:rsidRDefault="00AF1907" w:rsidP="00AF1907">
      <w:pPr>
        <w:jc w:val="both"/>
      </w:pPr>
      <w:r>
        <w:t xml:space="preserve">W sprawach nieuregulowanych niniejszą umową mają zastosowanie przepisy Kodeksu Cywilnego </w:t>
      </w:r>
      <w:r w:rsidRPr="00942CCE">
        <w:t>i innych aktów prawnych wymienionych w niniejszej umowie.</w:t>
      </w:r>
    </w:p>
    <w:p w14:paraId="49D66CCD" w14:textId="77777777" w:rsidR="00EC3843" w:rsidRDefault="00EC3843" w:rsidP="00AF1907">
      <w:pPr>
        <w:jc w:val="center"/>
        <w:rPr>
          <w:b/>
        </w:rPr>
      </w:pPr>
    </w:p>
    <w:p w14:paraId="4218C253" w14:textId="77777777" w:rsidR="00AF1907" w:rsidRPr="00EC3843" w:rsidRDefault="00697696" w:rsidP="00AF1907">
      <w:pPr>
        <w:jc w:val="center"/>
        <w:rPr>
          <w:b/>
        </w:rPr>
      </w:pPr>
      <w:r>
        <w:rPr>
          <w:b/>
        </w:rPr>
        <w:t xml:space="preserve">§ </w:t>
      </w:r>
      <w:r w:rsidRPr="00EC3843">
        <w:rPr>
          <w:b/>
        </w:rPr>
        <w:t>14</w:t>
      </w:r>
    </w:p>
    <w:p w14:paraId="4AE3B96D" w14:textId="77777777" w:rsidR="00AF1907" w:rsidRDefault="00AF1907" w:rsidP="00AF1907">
      <w:pPr>
        <w:jc w:val="both"/>
      </w:pPr>
      <w:r>
        <w:t>Umowę sporządzono w 3 jednobrzmiących egzemplarzach, po jednym egzemplarzu dla Szkoły, PJSMP i WOMP.</w:t>
      </w:r>
    </w:p>
    <w:p w14:paraId="1D4D6B2F" w14:textId="77777777" w:rsidR="00AF1907" w:rsidRDefault="00AF1907" w:rsidP="00AF1907">
      <w:pPr>
        <w:jc w:val="both"/>
        <w:rPr>
          <w:b/>
        </w:rPr>
      </w:pPr>
    </w:p>
    <w:tbl>
      <w:tblPr>
        <w:tblW w:w="0" w:type="auto"/>
        <w:jc w:val="center"/>
        <w:tblCellMar>
          <w:left w:w="70" w:type="dxa"/>
          <w:right w:w="70" w:type="dxa"/>
        </w:tblCellMar>
        <w:tblLook w:val="0000" w:firstRow="0" w:lastRow="0" w:firstColumn="0" w:lastColumn="0" w:noHBand="0" w:noVBand="0"/>
      </w:tblPr>
      <w:tblGrid>
        <w:gridCol w:w="3029"/>
        <w:gridCol w:w="3022"/>
        <w:gridCol w:w="3021"/>
      </w:tblGrid>
      <w:tr w:rsidR="00AF1907" w14:paraId="4A781558" w14:textId="77777777" w:rsidTr="00BB7693">
        <w:trPr>
          <w:jc w:val="center"/>
        </w:trPr>
        <w:tc>
          <w:tcPr>
            <w:tcW w:w="3118" w:type="dxa"/>
            <w:tcBorders>
              <w:top w:val="nil"/>
              <w:left w:val="nil"/>
              <w:bottom w:val="nil"/>
              <w:right w:val="nil"/>
            </w:tcBorders>
          </w:tcPr>
          <w:p w14:paraId="3E15A2B8" w14:textId="77777777" w:rsidR="00AF1907" w:rsidRDefault="00AF1907" w:rsidP="00BB7693">
            <w:pPr>
              <w:jc w:val="center"/>
              <w:rPr>
                <w:b/>
              </w:rPr>
            </w:pPr>
            <w:r>
              <w:rPr>
                <w:b/>
              </w:rPr>
              <w:t>SZKOŁA:</w:t>
            </w:r>
          </w:p>
        </w:tc>
        <w:tc>
          <w:tcPr>
            <w:tcW w:w="3118" w:type="dxa"/>
            <w:tcBorders>
              <w:top w:val="nil"/>
              <w:left w:val="nil"/>
              <w:bottom w:val="nil"/>
              <w:right w:val="nil"/>
            </w:tcBorders>
          </w:tcPr>
          <w:p w14:paraId="5F1052F8" w14:textId="77777777" w:rsidR="00AF1907" w:rsidRDefault="00AF1907" w:rsidP="00BB7693">
            <w:pPr>
              <w:jc w:val="center"/>
              <w:rPr>
                <w:b/>
              </w:rPr>
            </w:pPr>
            <w:r>
              <w:rPr>
                <w:b/>
              </w:rPr>
              <w:t xml:space="preserve">      PJSMP:</w:t>
            </w:r>
          </w:p>
        </w:tc>
        <w:tc>
          <w:tcPr>
            <w:tcW w:w="3119" w:type="dxa"/>
            <w:tcBorders>
              <w:top w:val="nil"/>
              <w:left w:val="nil"/>
              <w:bottom w:val="nil"/>
              <w:right w:val="nil"/>
            </w:tcBorders>
          </w:tcPr>
          <w:p w14:paraId="104BE40A" w14:textId="77777777" w:rsidR="00AF1907" w:rsidRDefault="00AF1907" w:rsidP="00BB7693">
            <w:pPr>
              <w:jc w:val="center"/>
              <w:rPr>
                <w:b/>
              </w:rPr>
            </w:pPr>
            <w:r>
              <w:rPr>
                <w:b/>
              </w:rPr>
              <w:t xml:space="preserve">               WOMP:</w:t>
            </w:r>
          </w:p>
        </w:tc>
      </w:tr>
    </w:tbl>
    <w:p w14:paraId="7BD7B645" w14:textId="77777777" w:rsidR="00AF1907" w:rsidRDefault="00AF1907" w:rsidP="00AF1907"/>
    <w:p w14:paraId="0EE72C0B" w14:textId="77777777" w:rsidR="002F29E3" w:rsidRDefault="00FB3AD7"/>
    <w:sectPr w:rsidR="002F29E3" w:rsidSect="00B11503">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E135" w14:textId="77777777" w:rsidR="00FB3AD7" w:rsidRDefault="00FB3AD7">
      <w:r>
        <w:separator/>
      </w:r>
    </w:p>
  </w:endnote>
  <w:endnote w:type="continuationSeparator" w:id="0">
    <w:p w14:paraId="7C14BDA3" w14:textId="77777777" w:rsidR="00FB3AD7" w:rsidRDefault="00FB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CB1" w14:textId="77777777" w:rsidR="00657E27" w:rsidRDefault="00AF1907">
    <w:pPr>
      <w:pStyle w:val="Stopka"/>
      <w:jc w:val="center"/>
    </w:pPr>
    <w:r>
      <w:fldChar w:fldCharType="begin"/>
    </w:r>
    <w:r>
      <w:instrText xml:space="preserve"> PAGE   \* MERGEFORMAT </w:instrText>
    </w:r>
    <w:r>
      <w:fldChar w:fldCharType="separate"/>
    </w:r>
    <w:r w:rsidR="00B8065E">
      <w:rPr>
        <w:noProof/>
      </w:rPr>
      <w:t>1</w:t>
    </w:r>
    <w:r>
      <w:fldChar w:fldCharType="end"/>
    </w:r>
  </w:p>
  <w:p w14:paraId="3DFFB79C" w14:textId="77777777" w:rsidR="00657E27" w:rsidRDefault="00FB3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CF6D" w14:textId="77777777" w:rsidR="00FB3AD7" w:rsidRDefault="00FB3AD7">
      <w:r>
        <w:separator/>
      </w:r>
    </w:p>
  </w:footnote>
  <w:footnote w:type="continuationSeparator" w:id="0">
    <w:p w14:paraId="1376CB96" w14:textId="77777777" w:rsidR="00FB3AD7" w:rsidRDefault="00FB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93"/>
    <w:multiLevelType w:val="multilevel"/>
    <w:tmpl w:val="13423D34"/>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10680BFE"/>
    <w:multiLevelType w:val="hybridMultilevel"/>
    <w:tmpl w:val="B1CA1790"/>
    <w:lvl w:ilvl="0" w:tplc="04150019">
      <w:start w:val="1"/>
      <w:numFmt w:val="lowerLetter"/>
      <w:lvlText w:val="%1."/>
      <w:lvlJc w:val="left"/>
      <w:pPr>
        <w:ind w:left="720" w:hanging="360"/>
      </w:pPr>
      <w:rPr>
        <w:rFonts w:ascii="Times New Roman" w:hAnsi="Times New Roman" w:cs="Times New Roman"/>
      </w:rPr>
    </w:lvl>
    <w:lvl w:ilvl="1" w:tplc="613C96AE">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12A326A"/>
    <w:multiLevelType w:val="hybridMultilevel"/>
    <w:tmpl w:val="9D2647BA"/>
    <w:lvl w:ilvl="0" w:tplc="04150011">
      <w:start w:val="1"/>
      <w:numFmt w:val="decimal"/>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 w15:restartNumberingAfterBreak="0">
    <w:nsid w:val="121611D3"/>
    <w:multiLevelType w:val="hybridMultilevel"/>
    <w:tmpl w:val="1FD487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A7B19"/>
    <w:multiLevelType w:val="multilevel"/>
    <w:tmpl w:val="1D2ED09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70"/>
        </w:tabs>
        <w:ind w:left="1070" w:hanging="360"/>
      </w:pPr>
      <w:rPr>
        <w:rFonts w:ascii="Arial" w:hAnsi="Arial" w:cs="Arial" w:hint="default"/>
        <w:color w:val="auto"/>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9BB5012"/>
    <w:multiLevelType w:val="hybridMultilevel"/>
    <w:tmpl w:val="F314D53E"/>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 w15:restartNumberingAfterBreak="0">
    <w:nsid w:val="2B7D1DB0"/>
    <w:multiLevelType w:val="hybridMultilevel"/>
    <w:tmpl w:val="F1CA8B94"/>
    <w:lvl w:ilvl="0" w:tplc="4DB69298">
      <w:start w:val="1"/>
      <w:numFmt w:val="decimal"/>
      <w:lvlText w:val="%1."/>
      <w:lvlJc w:val="left"/>
      <w:pPr>
        <w:ind w:left="912" w:hanging="552"/>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4010642A"/>
    <w:multiLevelType w:val="hybridMultilevel"/>
    <w:tmpl w:val="E97AA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15334B8"/>
    <w:multiLevelType w:val="multilevel"/>
    <w:tmpl w:val="1190348E"/>
    <w:lvl w:ilvl="0">
      <w:start w:val="1"/>
      <w:numFmt w:val="decimal"/>
      <w:lvlText w:val="%1."/>
      <w:lvlJc w:val="left"/>
      <w:pPr>
        <w:tabs>
          <w:tab w:val="num" w:pos="450"/>
        </w:tabs>
        <w:ind w:left="450" w:hanging="450"/>
      </w:pPr>
      <w:rPr>
        <w:rFonts w:ascii="Arial" w:hAnsi="Arial" w:cs="Arial" w:hint="default"/>
        <w:b w:val="0"/>
        <w:color w:val="auto"/>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63A57412"/>
    <w:multiLevelType w:val="multilevel"/>
    <w:tmpl w:val="7C820E3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6CA0039D"/>
    <w:multiLevelType w:val="multilevel"/>
    <w:tmpl w:val="C5D6310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6F9919DD"/>
    <w:multiLevelType w:val="hybridMultilevel"/>
    <w:tmpl w:val="38520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8C2F55"/>
    <w:multiLevelType w:val="multilevel"/>
    <w:tmpl w:val="6F92908E"/>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Arial" w:hAnsi="Arial" w:cs="Arial" w:hint="default"/>
      </w:rPr>
    </w:lvl>
    <w:lvl w:ilvl="2">
      <w:start w:val="7"/>
      <w:numFmt w:val="decimal"/>
      <w:lvlText w:val="%3"/>
      <w:lvlJc w:val="left"/>
      <w:pPr>
        <w:ind w:left="1980" w:hanging="36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74691EBC"/>
    <w:multiLevelType w:val="hybridMultilevel"/>
    <w:tmpl w:val="708E720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75796933"/>
    <w:multiLevelType w:val="multilevel"/>
    <w:tmpl w:val="56127408"/>
    <w:lvl w:ilvl="0">
      <w:start w:val="1"/>
      <w:numFmt w:val="decimal"/>
      <w:lvlText w:val="%1."/>
      <w:lvlJc w:val="left"/>
      <w:pPr>
        <w:tabs>
          <w:tab w:val="num" w:pos="360"/>
        </w:tabs>
        <w:ind w:left="360" w:hanging="360"/>
      </w:pPr>
      <w:rPr>
        <w:rFonts w:ascii="Arial" w:hAnsi="Arial" w:cs="Arial" w:hint="default"/>
        <w:b w:val="0"/>
      </w:rPr>
    </w:lvl>
    <w:lvl w:ilvl="1">
      <w:start w:val="4"/>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2"/>
  </w:num>
  <w:num w:numId="2">
    <w:abstractNumId w:val="0"/>
  </w:num>
  <w:num w:numId="3">
    <w:abstractNumId w:val="9"/>
  </w:num>
  <w:num w:numId="4">
    <w:abstractNumId w:val="8"/>
  </w:num>
  <w:num w:numId="5">
    <w:abstractNumId w:val="4"/>
  </w:num>
  <w:num w:numId="6">
    <w:abstractNumId w:val="10"/>
  </w:num>
  <w:num w:numId="7">
    <w:abstractNumId w:val="14"/>
  </w:num>
  <w:num w:numId="8">
    <w:abstractNumId w:val="6"/>
  </w:num>
  <w:num w:numId="9">
    <w:abstractNumId w:val="1"/>
  </w:num>
  <w:num w:numId="10">
    <w:abstractNumId w:val="11"/>
  </w:num>
  <w:num w:numId="11">
    <w:abstractNumId w:val="5"/>
  </w:num>
  <w:num w:numId="12">
    <w:abstractNumId w:val="15"/>
  </w:num>
  <w:num w:numId="13">
    <w:abstractNumId w:val="13"/>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07"/>
    <w:rsid w:val="0005243E"/>
    <w:rsid w:val="00054FF3"/>
    <w:rsid w:val="00073A17"/>
    <w:rsid w:val="000C1263"/>
    <w:rsid w:val="000F1D1F"/>
    <w:rsid w:val="00101879"/>
    <w:rsid w:val="00145612"/>
    <w:rsid w:val="00165D4A"/>
    <w:rsid w:val="001A30A4"/>
    <w:rsid w:val="001D5F62"/>
    <w:rsid w:val="00207186"/>
    <w:rsid w:val="00214937"/>
    <w:rsid w:val="00250A65"/>
    <w:rsid w:val="002E7915"/>
    <w:rsid w:val="00337A49"/>
    <w:rsid w:val="003E2FBD"/>
    <w:rsid w:val="003F0C1C"/>
    <w:rsid w:val="003F7E60"/>
    <w:rsid w:val="00424FD0"/>
    <w:rsid w:val="004E0BE7"/>
    <w:rsid w:val="005161D2"/>
    <w:rsid w:val="00562305"/>
    <w:rsid w:val="005F2D02"/>
    <w:rsid w:val="00650A44"/>
    <w:rsid w:val="00697696"/>
    <w:rsid w:val="006B430D"/>
    <w:rsid w:val="006D3413"/>
    <w:rsid w:val="00711184"/>
    <w:rsid w:val="0071497B"/>
    <w:rsid w:val="00731991"/>
    <w:rsid w:val="007B7E4C"/>
    <w:rsid w:val="008153A1"/>
    <w:rsid w:val="00866F52"/>
    <w:rsid w:val="00874340"/>
    <w:rsid w:val="0088244D"/>
    <w:rsid w:val="00890F7D"/>
    <w:rsid w:val="008B589E"/>
    <w:rsid w:val="00902528"/>
    <w:rsid w:val="00930B4D"/>
    <w:rsid w:val="009605EE"/>
    <w:rsid w:val="00971DE7"/>
    <w:rsid w:val="009774DE"/>
    <w:rsid w:val="009A7826"/>
    <w:rsid w:val="00A210FF"/>
    <w:rsid w:val="00A638E0"/>
    <w:rsid w:val="00AE4F6D"/>
    <w:rsid w:val="00AF1907"/>
    <w:rsid w:val="00B0705E"/>
    <w:rsid w:val="00B11503"/>
    <w:rsid w:val="00B458F2"/>
    <w:rsid w:val="00B8065E"/>
    <w:rsid w:val="00C1352F"/>
    <w:rsid w:val="00C53163"/>
    <w:rsid w:val="00D07C6A"/>
    <w:rsid w:val="00D32146"/>
    <w:rsid w:val="00E055B7"/>
    <w:rsid w:val="00E74DC1"/>
    <w:rsid w:val="00EC0B19"/>
    <w:rsid w:val="00EC3843"/>
    <w:rsid w:val="00EC7893"/>
    <w:rsid w:val="00EE5636"/>
    <w:rsid w:val="00F90BD2"/>
    <w:rsid w:val="00FB3AD7"/>
    <w:rsid w:val="00FF2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F0FD"/>
  <w15:docId w15:val="{27659C1D-6F33-4CC5-A2BD-753AED67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907"/>
    <w:pPr>
      <w:spacing w:after="0" w:line="240" w:lineRule="auto"/>
    </w:pPr>
    <w:rPr>
      <w:rFonts w:eastAsia="Times New Roman"/>
      <w:sz w:val="22"/>
      <w:szCs w:val="22"/>
      <w:lang w:eastAsia="pl-PL"/>
    </w:rPr>
  </w:style>
  <w:style w:type="paragraph" w:styleId="Nagwek1">
    <w:name w:val="heading 1"/>
    <w:basedOn w:val="Normalny"/>
    <w:next w:val="Normalny"/>
    <w:link w:val="Nagwek1Znak"/>
    <w:qFormat/>
    <w:rsid w:val="00AF1907"/>
    <w:pPr>
      <w:keepNext/>
      <w:outlineLvl w:val="0"/>
    </w:pPr>
    <w:rPr>
      <w:rFonts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1907"/>
    <w:rPr>
      <w:rFonts w:eastAsia="Times New Roman" w:cs="Times New Roman"/>
      <w:b/>
      <w:sz w:val="20"/>
      <w:szCs w:val="20"/>
      <w:lang w:eastAsia="pl-PL"/>
    </w:rPr>
  </w:style>
  <w:style w:type="paragraph" w:styleId="Nagwek">
    <w:name w:val="header"/>
    <w:basedOn w:val="Normalny"/>
    <w:link w:val="NagwekZnak"/>
    <w:uiPriority w:val="99"/>
    <w:rsid w:val="00AF1907"/>
    <w:pPr>
      <w:tabs>
        <w:tab w:val="center" w:pos="4536"/>
        <w:tab w:val="right" w:pos="9072"/>
      </w:tabs>
      <w:overflowPunct w:val="0"/>
      <w:autoSpaceDE w:val="0"/>
      <w:autoSpaceDN w:val="0"/>
      <w:adjustRightInd w:val="0"/>
      <w:textAlignment w:val="baseline"/>
    </w:pPr>
    <w:rPr>
      <w:rFonts w:ascii="Times New Roman" w:hAnsi="Times New Roman" w:cs="Times New Roman"/>
      <w:sz w:val="28"/>
      <w:szCs w:val="20"/>
    </w:rPr>
  </w:style>
  <w:style w:type="character" w:customStyle="1" w:styleId="NagwekZnak">
    <w:name w:val="Nagłówek Znak"/>
    <w:basedOn w:val="Domylnaczcionkaakapitu"/>
    <w:link w:val="Nagwek"/>
    <w:uiPriority w:val="99"/>
    <w:rsid w:val="00AF1907"/>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AF1907"/>
    <w:pPr>
      <w:overflowPunct w:val="0"/>
      <w:autoSpaceDE w:val="0"/>
      <w:autoSpaceDN w:val="0"/>
      <w:adjustRightInd w:val="0"/>
      <w:textAlignment w:val="baseline"/>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AF1907"/>
    <w:rPr>
      <w:rFonts w:ascii="Times New Roman" w:eastAsia="Times New Roman" w:hAnsi="Times New Roman" w:cs="Times New Roman"/>
      <w:sz w:val="28"/>
      <w:szCs w:val="20"/>
      <w:lang w:eastAsia="pl-PL"/>
    </w:rPr>
  </w:style>
  <w:style w:type="paragraph" w:styleId="Tytu">
    <w:name w:val="Title"/>
    <w:basedOn w:val="Normalny"/>
    <w:link w:val="TytuZnak"/>
    <w:qFormat/>
    <w:rsid w:val="00AF1907"/>
    <w:pPr>
      <w:overflowPunct w:val="0"/>
      <w:autoSpaceDE w:val="0"/>
      <w:autoSpaceDN w:val="0"/>
      <w:adjustRightInd w:val="0"/>
      <w:jc w:val="center"/>
      <w:textAlignment w:val="baseline"/>
    </w:pPr>
    <w:rPr>
      <w:rFonts w:cs="Times New Roman"/>
      <w:b/>
      <w:sz w:val="32"/>
      <w:szCs w:val="20"/>
    </w:rPr>
  </w:style>
  <w:style w:type="character" w:customStyle="1" w:styleId="TytuZnak">
    <w:name w:val="Tytuł Znak"/>
    <w:basedOn w:val="Domylnaczcionkaakapitu"/>
    <w:link w:val="Tytu"/>
    <w:rsid w:val="00AF1907"/>
    <w:rPr>
      <w:rFonts w:eastAsia="Times New Roman" w:cs="Times New Roman"/>
      <w:b/>
      <w:sz w:val="32"/>
      <w:szCs w:val="20"/>
      <w:lang w:eastAsia="pl-PL"/>
    </w:rPr>
  </w:style>
  <w:style w:type="character" w:customStyle="1" w:styleId="h2">
    <w:name w:val="h2"/>
    <w:rsid w:val="00AF1907"/>
    <w:rPr>
      <w:rFonts w:ascii="Times New Roman" w:hAnsi="Times New Roman" w:cs="Times New Roman"/>
    </w:rPr>
  </w:style>
  <w:style w:type="paragraph" w:styleId="Stopka">
    <w:name w:val="footer"/>
    <w:basedOn w:val="Normalny"/>
    <w:link w:val="StopkaZnak"/>
    <w:unhideWhenUsed/>
    <w:rsid w:val="00AF1907"/>
    <w:pPr>
      <w:tabs>
        <w:tab w:val="center" w:pos="4536"/>
        <w:tab w:val="right" w:pos="9072"/>
      </w:tabs>
    </w:pPr>
    <w:rPr>
      <w:rFonts w:cs="Times New Roman"/>
    </w:rPr>
  </w:style>
  <w:style w:type="character" w:customStyle="1" w:styleId="StopkaZnak">
    <w:name w:val="Stopka Znak"/>
    <w:basedOn w:val="Domylnaczcionkaakapitu"/>
    <w:link w:val="Stopka"/>
    <w:rsid w:val="00AF1907"/>
    <w:rPr>
      <w:rFonts w:eastAsia="Times New Roman" w:cs="Times New Roman"/>
      <w:sz w:val="22"/>
      <w:szCs w:val="22"/>
      <w:lang w:eastAsia="pl-PL"/>
    </w:rPr>
  </w:style>
  <w:style w:type="paragraph" w:styleId="Akapitzlist">
    <w:name w:val="List Paragraph"/>
    <w:basedOn w:val="Normalny"/>
    <w:uiPriority w:val="34"/>
    <w:qFormat/>
    <w:rsid w:val="008153A1"/>
    <w:pPr>
      <w:ind w:left="720"/>
      <w:contextualSpacing/>
    </w:pPr>
  </w:style>
  <w:style w:type="character" w:styleId="Odwoaniedokomentarza">
    <w:name w:val="annotation reference"/>
    <w:basedOn w:val="Domylnaczcionkaakapitu"/>
    <w:uiPriority w:val="99"/>
    <w:semiHidden/>
    <w:unhideWhenUsed/>
    <w:rsid w:val="006B430D"/>
    <w:rPr>
      <w:sz w:val="16"/>
      <w:szCs w:val="16"/>
    </w:rPr>
  </w:style>
  <w:style w:type="paragraph" w:styleId="Tekstkomentarza">
    <w:name w:val="annotation text"/>
    <w:basedOn w:val="Normalny"/>
    <w:link w:val="TekstkomentarzaZnak"/>
    <w:uiPriority w:val="99"/>
    <w:semiHidden/>
    <w:unhideWhenUsed/>
    <w:rsid w:val="006B430D"/>
    <w:rPr>
      <w:sz w:val="20"/>
      <w:szCs w:val="20"/>
    </w:rPr>
  </w:style>
  <w:style w:type="character" w:customStyle="1" w:styleId="TekstkomentarzaZnak">
    <w:name w:val="Tekst komentarza Znak"/>
    <w:basedOn w:val="Domylnaczcionkaakapitu"/>
    <w:link w:val="Tekstkomentarza"/>
    <w:uiPriority w:val="99"/>
    <w:semiHidden/>
    <w:rsid w:val="006B430D"/>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430D"/>
    <w:rPr>
      <w:b/>
      <w:bCs/>
    </w:rPr>
  </w:style>
  <w:style w:type="character" w:customStyle="1" w:styleId="TematkomentarzaZnak">
    <w:name w:val="Temat komentarza Znak"/>
    <w:basedOn w:val="TekstkomentarzaZnak"/>
    <w:link w:val="Tematkomentarza"/>
    <w:uiPriority w:val="99"/>
    <w:semiHidden/>
    <w:rsid w:val="006B430D"/>
    <w:rPr>
      <w:rFonts w:eastAsia="Times New Roman"/>
      <w:b/>
      <w:bCs/>
      <w:sz w:val="20"/>
      <w:szCs w:val="20"/>
      <w:lang w:eastAsia="pl-PL"/>
    </w:rPr>
  </w:style>
  <w:style w:type="paragraph" w:styleId="Tekstdymka">
    <w:name w:val="Balloon Text"/>
    <w:basedOn w:val="Normalny"/>
    <w:link w:val="TekstdymkaZnak"/>
    <w:uiPriority w:val="99"/>
    <w:semiHidden/>
    <w:unhideWhenUsed/>
    <w:rsid w:val="006B430D"/>
    <w:rPr>
      <w:rFonts w:ascii="Tahoma" w:hAnsi="Tahoma" w:cs="Tahoma"/>
      <w:sz w:val="16"/>
      <w:szCs w:val="16"/>
    </w:rPr>
  </w:style>
  <w:style w:type="character" w:customStyle="1" w:styleId="TekstdymkaZnak">
    <w:name w:val="Tekst dymka Znak"/>
    <w:basedOn w:val="Domylnaczcionkaakapitu"/>
    <w:link w:val="Tekstdymka"/>
    <w:uiPriority w:val="99"/>
    <w:semiHidden/>
    <w:rsid w:val="006B430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337A49"/>
    <w:pPr>
      <w:spacing w:after="120" w:line="480" w:lineRule="auto"/>
    </w:pPr>
  </w:style>
  <w:style w:type="character" w:customStyle="1" w:styleId="Tekstpodstawowy2Znak">
    <w:name w:val="Tekst podstawowy 2 Znak"/>
    <w:basedOn w:val="Domylnaczcionkaakapitu"/>
    <w:link w:val="Tekstpodstawowy2"/>
    <w:uiPriority w:val="99"/>
    <w:semiHidden/>
    <w:rsid w:val="00337A49"/>
    <w:rPr>
      <w:rFonts w:eastAsia="Times New Roman"/>
      <w:sz w:val="22"/>
      <w:szCs w:val="22"/>
      <w:lang w:eastAsia="pl-PL"/>
    </w:rPr>
  </w:style>
  <w:style w:type="character" w:customStyle="1" w:styleId="ListParagraphChar">
    <w:name w:val="List Paragraph Char"/>
    <w:aliases w:val="RR PGE Akapit z listą Char,Styl 1 Char"/>
    <w:link w:val="Akapitzlist1"/>
    <w:locked/>
    <w:rsid w:val="00073A17"/>
    <w:rPr>
      <w:lang w:val="x-none" w:eastAsia="pl-PL"/>
    </w:rPr>
  </w:style>
  <w:style w:type="paragraph" w:customStyle="1" w:styleId="Akapitzlist1">
    <w:name w:val="Akapit z listą1"/>
    <w:aliases w:val="RR PGE Akapit z listą,Styl 1"/>
    <w:basedOn w:val="Normalny"/>
    <w:link w:val="ListParagraphChar"/>
    <w:qFormat/>
    <w:rsid w:val="00073A17"/>
    <w:pPr>
      <w:ind w:left="708"/>
    </w:pPr>
    <w:rPr>
      <w:rFonts w:eastAsiaTheme="minorHAnsi"/>
      <w:sz w:val="24"/>
      <w:szCs w:val="24"/>
      <w:lang w:val="x-none"/>
    </w:rPr>
  </w:style>
  <w:style w:type="character" w:styleId="Hipercze">
    <w:name w:val="Hyperlink"/>
    <w:basedOn w:val="Domylnaczcionkaakapitu"/>
    <w:uiPriority w:val="99"/>
    <w:unhideWhenUsed/>
    <w:rsid w:val="00073A17"/>
    <w:rPr>
      <w:color w:val="0000FF" w:themeColor="hyperlink"/>
      <w:u w:val="single"/>
    </w:rPr>
  </w:style>
  <w:style w:type="character" w:styleId="Nierozpoznanawzmianka">
    <w:name w:val="Unresolved Mention"/>
    <w:basedOn w:val="Domylnaczcionkaakapitu"/>
    <w:uiPriority w:val="99"/>
    <w:semiHidden/>
    <w:unhideWhenUsed/>
    <w:rsid w:val="0056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2137</Words>
  <Characters>12826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zdalach</dc:creator>
  <cp:lastModifiedBy>Zbigniew Bugaj</cp:lastModifiedBy>
  <cp:revision>4</cp:revision>
  <cp:lastPrinted>2021-05-13T08:55:00Z</cp:lastPrinted>
  <dcterms:created xsi:type="dcterms:W3CDTF">2021-05-13T08:56:00Z</dcterms:created>
  <dcterms:modified xsi:type="dcterms:W3CDTF">2021-06-23T07:22:00Z</dcterms:modified>
</cp:coreProperties>
</file>