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5A9C" w14:textId="37F69159" w:rsidR="00F51E69" w:rsidRPr="00C205EA" w:rsidRDefault="00F51E69" w:rsidP="00F51E69">
      <w:pPr>
        <w:pStyle w:val="Nagwek3"/>
        <w:numPr>
          <w:ilvl w:val="0"/>
          <w:numId w:val="0"/>
        </w:numPr>
        <w:ind w:left="1134" w:hanging="1134"/>
      </w:pPr>
      <w:bookmarkStart w:id="0" w:name="_Toc281912"/>
      <w:r>
        <w:t>Serwer</w:t>
      </w:r>
      <w:r w:rsidR="00410D21">
        <w:t xml:space="preserve"> dla WOMP Kielce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177"/>
        <w:gridCol w:w="2887"/>
      </w:tblGrid>
      <w:tr w:rsidR="00837EA4" w:rsidRPr="00CE1E90" w14:paraId="1D690F4E" w14:textId="53F27A19" w:rsidTr="00837EA4">
        <w:trPr>
          <w:trHeight w:val="663"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bookmarkEnd w:id="0"/>
          <w:p w14:paraId="459BDB4A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C205EA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14:paraId="07387EE7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C205EA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14:paraId="0BF6CF92" w14:textId="77777777" w:rsidR="00837EA4" w:rsidRDefault="00837EA4" w:rsidP="003E00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 xml:space="preserve">Oferowane </w:t>
            </w:r>
          </w:p>
          <w:p w14:paraId="1842F63D" w14:textId="185E6985" w:rsidR="00A16F4F" w:rsidRPr="00C205EA" w:rsidRDefault="00A16F4F" w:rsidP="003E00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>ParaMETRY</w:t>
            </w:r>
          </w:p>
        </w:tc>
      </w:tr>
      <w:tr w:rsidR="00837EA4" w:rsidRPr="00CE1E90" w14:paraId="45568F9D" w14:textId="5BED3DE0" w:rsidTr="00837EA4">
        <w:tc>
          <w:tcPr>
            <w:tcW w:w="1998" w:type="dxa"/>
          </w:tcPr>
          <w:p w14:paraId="627CDD54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4177" w:type="dxa"/>
          </w:tcPr>
          <w:p w14:paraId="6B43CFFB" w14:textId="77777777" w:rsidR="00837EA4" w:rsidRPr="00C205EA" w:rsidRDefault="00837EA4" w:rsidP="00837EA4">
            <w:pPr>
              <w:pStyle w:val="Akapitzlist"/>
              <w:numPr>
                <w:ilvl w:val="0"/>
                <w:numId w:val="4"/>
              </w:num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Maksymalnie 1U RACK 19 cali (wraz z szynami montażowymi oraz ramieniem do prowadzenia kabli, umożliwiającymi serwisowanie serwera w szafie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rack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bez wyłączania urządzenia).</w:t>
            </w:r>
          </w:p>
          <w:p w14:paraId="238EC2AD" w14:textId="77777777" w:rsidR="00837EA4" w:rsidRPr="00C205EA" w:rsidRDefault="00837EA4" w:rsidP="00837EA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Serwer posiadający możliwość zamontowania zamykanego, zdejmowanego panelu przedniego chroniącego przed nieuprawionym dostępem do dysków.</w:t>
            </w:r>
          </w:p>
          <w:p w14:paraId="36CF2F4E" w14:textId="77777777" w:rsidR="00837EA4" w:rsidRPr="00C205EA" w:rsidRDefault="00837EA4" w:rsidP="00837EA4">
            <w:pPr>
              <w:pStyle w:val="Akapitzlist"/>
              <w:numPr>
                <w:ilvl w:val="0"/>
                <w:numId w:val="4"/>
              </w:num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Serwer posiadający możliwość zamontowania czujnika otwarcia obudowy współpracującego z BIOS.</w:t>
            </w:r>
          </w:p>
        </w:tc>
        <w:tc>
          <w:tcPr>
            <w:tcW w:w="2887" w:type="dxa"/>
          </w:tcPr>
          <w:p w14:paraId="67994474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12EABAB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54E82855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7E34661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583F9BAE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7BFE25B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6C00981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87A2228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CB7A70F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4FE6822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67E34CB6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376BB1A9" w14:textId="57671C44" w:rsidR="00837EA4" w:rsidRPr="00CE1E90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7DF6B203" w14:textId="398B80D4" w:rsidTr="00837EA4">
        <w:tc>
          <w:tcPr>
            <w:tcW w:w="1998" w:type="dxa"/>
          </w:tcPr>
          <w:p w14:paraId="24D0506E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2. Procesor</w:t>
            </w:r>
          </w:p>
          <w:p w14:paraId="66AA4FFE" w14:textId="77777777" w:rsidR="00837EA4" w:rsidRPr="00C205EA" w:rsidRDefault="00837EA4" w:rsidP="003E00C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2ECBC0C8" w14:textId="29368C0D" w:rsidR="00837EA4" w:rsidRPr="00EB3DDF" w:rsidRDefault="00837EA4" w:rsidP="00F51E6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EB3DDF">
              <w:rPr>
                <w:rFonts w:asciiTheme="minorHAnsi" w:hAnsiTheme="minorHAnsi" w:cstheme="minorHAnsi"/>
                <w:color w:val="auto"/>
                <w:sz w:val="22"/>
              </w:rPr>
              <w:t xml:space="preserve">Procesor ośmiordzeniowy, x86 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–</w:t>
            </w:r>
            <w:r w:rsidRPr="00EB3DDF">
              <w:rPr>
                <w:rFonts w:asciiTheme="minorHAnsi" w:hAnsiTheme="minorHAnsi" w:cstheme="minorHAnsi"/>
                <w:color w:val="auto"/>
                <w:sz w:val="22"/>
              </w:rPr>
              <w:t xml:space="preserve"> 64 bity, taktowanie min. 2.1GHz, pamięć cache min. 11MB, osiągający w testach </w:t>
            </w:r>
            <w:proofErr w:type="spellStart"/>
            <w:r w:rsidRPr="00EB3DDF">
              <w:rPr>
                <w:rFonts w:asciiTheme="minorHAnsi" w:hAnsiTheme="minorHAnsi" w:cstheme="minorHAnsi"/>
                <w:color w:val="auto"/>
                <w:sz w:val="22"/>
              </w:rPr>
              <w:t>PassMark</w:t>
            </w:r>
            <w:proofErr w:type="spellEnd"/>
            <w:r w:rsidRPr="00EB3DDF">
              <w:rPr>
                <w:rFonts w:asciiTheme="minorHAnsi" w:hAnsiTheme="minorHAnsi" w:cstheme="minorHAnsi"/>
                <w:color w:val="auto"/>
                <w:sz w:val="22"/>
              </w:rPr>
              <w:t xml:space="preserve"> – CPU Mark wynik nie gorszy niż 11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15</w:t>
            </w:r>
            <w:r w:rsidRPr="00EB3DDF">
              <w:rPr>
                <w:rFonts w:asciiTheme="minorHAnsi" w:hAnsiTheme="minorHAnsi" w:cstheme="minorHAnsi"/>
                <w:color w:val="auto"/>
                <w:sz w:val="22"/>
              </w:rPr>
              <w:t xml:space="preserve">0 punktów. </w:t>
            </w:r>
          </w:p>
          <w:p w14:paraId="59AF75A6" w14:textId="77777777" w:rsidR="00837EA4" w:rsidRPr="002341FC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 w:rsidRPr="002341FC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Wynik testu musi być opublikowany na stronie</w:t>
            </w:r>
            <w:r w:rsidRPr="002341FC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hyperlink r:id="rId8" w:history="1">
              <w:r w:rsidRPr="002341FC">
                <w:rPr>
                  <w:rFonts w:asciiTheme="minorHAnsi" w:hAnsiTheme="minorHAnsi" w:cstheme="minorHAnsi"/>
                  <w:color w:val="auto"/>
                  <w:sz w:val="22"/>
                  <w:u w:val="single"/>
                </w:rPr>
                <w:t>www.cpubenchmark.net</w:t>
              </w:r>
            </w:hyperlink>
            <w:r>
              <w:rPr>
                <w:rFonts w:asciiTheme="minorHAnsi" w:hAnsiTheme="minorHAnsi" w:cstheme="minorHAnsi"/>
                <w:color w:val="auto"/>
                <w:sz w:val="22"/>
                <w:u w:val="single"/>
              </w:rPr>
              <w:t xml:space="preserve"> w </w:t>
            </w:r>
            <w:r w:rsidRPr="002341FC">
              <w:rPr>
                <w:rFonts w:asciiTheme="minorHAnsi" w:hAnsiTheme="minorHAnsi" w:cstheme="minorHAnsi"/>
                <w:color w:val="auto"/>
                <w:sz w:val="22"/>
                <w:u w:val="single"/>
              </w:rPr>
              <w:t>dniu otwarcia ofert.</w:t>
            </w:r>
          </w:p>
          <w:p w14:paraId="3B41359A" w14:textId="77777777" w:rsidR="00837EA4" w:rsidRPr="002341FC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2341FC">
              <w:rPr>
                <w:rFonts w:asciiTheme="minorHAnsi" w:hAnsiTheme="minorHAnsi" w:cstheme="minorHAnsi"/>
                <w:b/>
                <w:bCs/>
                <w:color w:val="auto"/>
                <w:sz w:val="22"/>
                <w:u w:val="single"/>
              </w:rPr>
              <w:t>Zamawiający zweryfikuje wydajność zaoferowanego procesora według wyników testów opublikowanych na stronie:</w:t>
            </w:r>
            <w:r w:rsidRPr="002341FC">
              <w:rPr>
                <w:rFonts w:asciiTheme="minorHAnsi" w:hAnsiTheme="minorHAnsi" w:cstheme="minorHAnsi"/>
                <w:color w:val="auto"/>
                <w:sz w:val="22"/>
                <w:u w:val="single"/>
              </w:rPr>
              <w:t xml:space="preserve"> </w:t>
            </w:r>
            <w:hyperlink r:id="rId9" w:history="1">
              <w:r w:rsidRPr="002341FC">
                <w:rPr>
                  <w:rFonts w:asciiTheme="minorHAnsi" w:hAnsiTheme="minorHAnsi" w:cstheme="minorHAnsi"/>
                  <w:b/>
                  <w:bCs/>
                  <w:color w:val="auto"/>
                  <w:sz w:val="22"/>
                  <w:u w:val="single"/>
                </w:rPr>
                <w:t>www.cpubenchmark.net</w:t>
              </w:r>
            </w:hyperlink>
            <w:r w:rsidRPr="002341FC">
              <w:rPr>
                <w:rFonts w:asciiTheme="minorHAnsi" w:hAnsiTheme="minorHAnsi" w:cstheme="minorHAnsi"/>
                <w:color w:val="auto"/>
                <w:sz w:val="22"/>
              </w:rPr>
              <w:t xml:space="preserve"> w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 </w:t>
            </w:r>
            <w:r w:rsidRPr="002341FC">
              <w:rPr>
                <w:rFonts w:asciiTheme="minorHAnsi" w:hAnsiTheme="minorHAnsi" w:cstheme="minorHAnsi"/>
                <w:color w:val="auto"/>
                <w:sz w:val="22"/>
              </w:rPr>
              <w:t>dniu otwarcia ofert.</w:t>
            </w:r>
          </w:p>
          <w:p w14:paraId="412C0BC4" w14:textId="77777777" w:rsidR="00837EA4" w:rsidRPr="00CC46F2" w:rsidRDefault="00837EA4" w:rsidP="00F51E6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>Płyta główna wspierająca zastosowanie dwóch procesorów od 4 do 28 rdzeniowych, mocy do min. 205W i taktowaniu CPU do min. 3</w:t>
            </w:r>
            <w:r w:rsidRPr="00CC46F2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.6GHz. </w:t>
            </w:r>
          </w:p>
          <w:p w14:paraId="4FB215AF" w14:textId="358A7E8A" w:rsidR="00837EA4" w:rsidRPr="00C205EA" w:rsidRDefault="00837EA4" w:rsidP="00F51E69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C46F2">
              <w:rPr>
                <w:rFonts w:ascii="Calibri" w:hAnsi="Calibri" w:cs="Calibri"/>
                <w:color w:val="000000" w:themeColor="text1"/>
                <w:sz w:val="22"/>
                <w:lang w:eastAsia="en-US"/>
              </w:rPr>
              <w:t>Procesor z tej samej rodziny procesorów, co te zainstalowane w obecnych serwerach hostach klastra wysokiej dostępności</w:t>
            </w:r>
            <w:r>
              <w:rPr>
                <w:rFonts w:ascii="Calibri" w:hAnsi="Calibri" w:cs="Calibri"/>
                <w:color w:val="000000" w:themeColor="text1"/>
                <w:sz w:val="22"/>
                <w:lang w:eastAsia="en-US"/>
              </w:rPr>
              <w:t xml:space="preserve"> – </w:t>
            </w:r>
            <w:r w:rsidRPr="00CC46F2">
              <w:rPr>
                <w:rFonts w:ascii="Calibri" w:hAnsi="Calibri" w:cs="Calibri"/>
                <w:color w:val="000000" w:themeColor="text1"/>
                <w:sz w:val="22"/>
                <w:lang w:eastAsia="en-US"/>
              </w:rPr>
              <w:t>Intel Xeon-Silver 4208 (2.1GHz/8-core/85W)</w:t>
            </w:r>
          </w:p>
        </w:tc>
        <w:tc>
          <w:tcPr>
            <w:tcW w:w="2887" w:type="dxa"/>
          </w:tcPr>
          <w:p w14:paraId="3E3B9D1D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837EA4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T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AK</w:t>
            </w:r>
            <w:r w:rsidRPr="00837EA4">
              <w:rPr>
                <w:rFonts w:asciiTheme="minorHAnsi" w:hAnsiTheme="minorHAnsi" w:cstheme="minorHAnsi"/>
                <w:color w:val="auto"/>
                <w:sz w:val="22"/>
              </w:rPr>
              <w:t>/NIE</w:t>
            </w:r>
          </w:p>
          <w:p w14:paraId="7FEB0A24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4A06A49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F18CC4E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1249382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BCD598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A9E0D90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D713FA2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133D89E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124B4C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9AFF3BD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18EE52C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C80CE0F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81A4037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1E17A2D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TAK/NIE</w:t>
            </w:r>
          </w:p>
          <w:p w14:paraId="47FE2B47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32246A6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FFC9979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1CF1E92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474ED0EA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7DA1617" w14:textId="2E9C0EBD" w:rsidR="00837EA4" w:rsidRP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TAK/NIE</w:t>
            </w:r>
          </w:p>
        </w:tc>
      </w:tr>
      <w:tr w:rsidR="00837EA4" w:rsidRPr="00CE1E90" w14:paraId="4ACB4AFF" w14:textId="448E385D" w:rsidTr="00837EA4">
        <w:tc>
          <w:tcPr>
            <w:tcW w:w="1998" w:type="dxa"/>
          </w:tcPr>
          <w:p w14:paraId="7C181C51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>3. Liczba procesorów</w:t>
            </w:r>
          </w:p>
        </w:tc>
        <w:tc>
          <w:tcPr>
            <w:tcW w:w="4177" w:type="dxa"/>
          </w:tcPr>
          <w:p w14:paraId="440339C0" w14:textId="77777777" w:rsidR="00837EA4" w:rsidRPr="00C205EA" w:rsidRDefault="00837EA4" w:rsidP="003E00CA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Min. 2 procesory</w:t>
            </w:r>
          </w:p>
        </w:tc>
        <w:tc>
          <w:tcPr>
            <w:tcW w:w="2887" w:type="dxa"/>
          </w:tcPr>
          <w:p w14:paraId="1F15109E" w14:textId="6D6459E7" w:rsidR="00837EA4" w:rsidRPr="00CE1E90" w:rsidRDefault="00B628FA" w:rsidP="00F173D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………..</w:t>
            </w:r>
          </w:p>
        </w:tc>
      </w:tr>
      <w:tr w:rsidR="00837EA4" w:rsidRPr="00CE1E90" w14:paraId="35031828" w14:textId="062B4628" w:rsidTr="00837EA4">
        <w:tc>
          <w:tcPr>
            <w:tcW w:w="1998" w:type="dxa"/>
          </w:tcPr>
          <w:p w14:paraId="74090714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4. Pamięć operacyjna</w:t>
            </w:r>
          </w:p>
        </w:tc>
        <w:tc>
          <w:tcPr>
            <w:tcW w:w="4177" w:type="dxa"/>
          </w:tcPr>
          <w:p w14:paraId="1961806E" w14:textId="4004D718" w:rsidR="00837EA4" w:rsidRPr="00C205EA" w:rsidRDefault="00837EA4" w:rsidP="00F51E6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Minimum </w:t>
            </w:r>
            <w:r>
              <w:rPr>
                <w:rFonts w:asciiTheme="minorHAnsi" w:hAnsiTheme="minorHAnsi" w:cstheme="minorHAnsi"/>
                <w:sz w:val="22"/>
              </w:rPr>
              <w:t>256</w:t>
            </w:r>
            <w:r w:rsidRPr="00CE1E90">
              <w:rPr>
                <w:rFonts w:asciiTheme="minorHAnsi" w:hAnsiTheme="minorHAnsi" w:cstheme="minorHAnsi"/>
                <w:sz w:val="22"/>
              </w:rPr>
              <w:t xml:space="preserve"> GB RDIMM 2666 MT/s w modułach o pojemności 32GB każdy.</w:t>
            </w:r>
          </w:p>
          <w:p w14:paraId="4C88C0AB" w14:textId="77777777" w:rsidR="00837EA4" w:rsidRPr="00C205EA" w:rsidRDefault="00837EA4" w:rsidP="00F51E6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Płyta główna z minimum 24 slotami na pamięć i umożliwiająca instalację do minimum 6TB. </w:t>
            </w:r>
          </w:p>
          <w:p w14:paraId="35544F9E" w14:textId="77777777" w:rsidR="00837EA4" w:rsidRPr="00C205EA" w:rsidRDefault="00837EA4" w:rsidP="00F51E6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Płyta główna z fabrycznym oznaczeniem logo producenta (dopuszcza się logo producenta na module zarządzania trwale zintegrowanym na płycie głównej).</w:t>
            </w:r>
          </w:p>
          <w:p w14:paraId="7E7F1EA9" w14:textId="77777777" w:rsidR="00837EA4" w:rsidRPr="00C205EA" w:rsidRDefault="00837EA4" w:rsidP="00F51E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Obsługa zabezpieczeń: Advanced ECC i Online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Spare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.</w:t>
            </w:r>
          </w:p>
          <w:p w14:paraId="6DC8376C" w14:textId="77777777" w:rsidR="00837EA4" w:rsidRPr="00C205EA" w:rsidRDefault="00837EA4" w:rsidP="00F51E6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Serwer z obsługą pamięci typu NVDIMM i Intel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Optane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(128GB, 256GB, 512GB).</w:t>
            </w:r>
          </w:p>
        </w:tc>
        <w:tc>
          <w:tcPr>
            <w:tcW w:w="2887" w:type="dxa"/>
          </w:tcPr>
          <w:p w14:paraId="7636456A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1C071020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31314F29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6CBB538E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24AC76C2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5564B656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1144AADF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6C1B91EC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10FB10B3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968C0D7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16092C29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A1328CA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B80A71B" w14:textId="77777777" w:rsidR="00837EA4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52F2E51" w14:textId="27C728CB" w:rsidR="00837EA4" w:rsidRPr="00CE1E90" w:rsidRDefault="00837EA4" w:rsidP="00837EA4">
            <w:pPr>
              <w:pStyle w:val="Akapitzlist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11BD90E5" w14:textId="3E10C5B3" w:rsidTr="00837EA4">
        <w:tc>
          <w:tcPr>
            <w:tcW w:w="1998" w:type="dxa"/>
          </w:tcPr>
          <w:p w14:paraId="52C27BFD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5.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Sloty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rozszerzeń</w:t>
            </w:r>
          </w:p>
        </w:tc>
        <w:tc>
          <w:tcPr>
            <w:tcW w:w="4177" w:type="dxa"/>
          </w:tcPr>
          <w:p w14:paraId="0A1B815D" w14:textId="77777777" w:rsidR="00837EA4" w:rsidRPr="00C205EA" w:rsidRDefault="00837EA4" w:rsidP="00F51E6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2 aktywne gniazda PCI-Express generacji 3, w tym min. 1 slot x16 (prędkość slotu –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bus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width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 pełnej wysokości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full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height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). </w:t>
            </w:r>
          </w:p>
          <w:p w14:paraId="5C3E8834" w14:textId="77777777" w:rsidR="00837EA4" w:rsidRPr="00C205EA" w:rsidRDefault="00837EA4" w:rsidP="00F51E6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Możliwość rozbudowy o dodatkowy, trzeci slot PCI-Express </w:t>
            </w: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 xml:space="preserve">generacji 3 x16 (prędkość slotu –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bus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width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).</w:t>
            </w:r>
          </w:p>
          <w:p w14:paraId="65FC0E4D" w14:textId="77777777" w:rsidR="00837EA4" w:rsidRPr="00C205EA" w:rsidRDefault="00837EA4" w:rsidP="00F51E6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Po instalacji wszystkich wymaganych kart rozszerzeń, serwer musi mieć możliwość rozbudowy o dodatkową kartę rozszerzeń w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CE1E90">
              <w:rPr>
                <w:rFonts w:asciiTheme="minorHAnsi" w:hAnsiTheme="minorHAnsi" w:cstheme="minorHAnsi"/>
                <w:sz w:val="22"/>
              </w:rPr>
              <w:t xml:space="preserve">gnieździe PCI-Express. </w:t>
            </w:r>
          </w:p>
        </w:tc>
        <w:tc>
          <w:tcPr>
            <w:tcW w:w="2887" w:type="dxa"/>
          </w:tcPr>
          <w:p w14:paraId="5377060B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TAK/NIE</w:t>
            </w:r>
          </w:p>
          <w:p w14:paraId="7A29858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61044D2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DDE225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14EAB179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AD2179F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6E66D2D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AF07086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47D2990" w14:textId="0F2A1F85" w:rsidR="00837EA4" w:rsidRPr="00CE1E90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25A2F9C1" w14:textId="70B0425D" w:rsidTr="00837EA4">
        <w:tc>
          <w:tcPr>
            <w:tcW w:w="1998" w:type="dxa"/>
          </w:tcPr>
          <w:p w14:paraId="306C4A67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>6. Dysk twardy</w:t>
            </w:r>
          </w:p>
          <w:p w14:paraId="456F2783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77" w:type="dxa"/>
          </w:tcPr>
          <w:p w14:paraId="544B9B1D" w14:textId="77777777" w:rsidR="00837EA4" w:rsidRPr="00C205EA" w:rsidRDefault="00837EA4" w:rsidP="00F51E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Zatoki dyskowe gotowe do zainstalowania 8 dysków SFF typu Hot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Swap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SAS/SATA/SSD 2,5” i opcja rozbudowy/rekonfiguracji o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CE1E90">
              <w:rPr>
                <w:rFonts w:asciiTheme="minorHAnsi" w:hAnsiTheme="minorHAnsi" w:cstheme="minorHAnsi"/>
                <w:sz w:val="22"/>
              </w:rPr>
              <w:t xml:space="preserve">dodatkowe 2 dyski typu Hot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Swap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SAS/SATA/SSD.</w:t>
            </w:r>
          </w:p>
          <w:p w14:paraId="00DCA620" w14:textId="77777777" w:rsidR="00837EA4" w:rsidRPr="00AC547A" w:rsidRDefault="00837EA4" w:rsidP="00F51E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Zainstalowane minimum 2 dyski typu SAS 12G o pojemności minimum 300 GB każdy. </w:t>
            </w:r>
          </w:p>
          <w:p w14:paraId="738A8F28" w14:textId="70450947" w:rsidR="00837EA4" w:rsidRPr="00C205EA" w:rsidRDefault="00837EA4" w:rsidP="00F51E69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Zainstalowane minimum 4 dyski typu SSD SATA </w:t>
            </w:r>
            <w:r w:rsidRPr="00AC547A">
              <w:rPr>
                <w:rFonts w:asciiTheme="minorHAnsi" w:hAnsiTheme="minorHAnsi" w:cstheme="minorHAnsi"/>
              </w:rPr>
              <w:t xml:space="preserve">(6Gb/s, Read </w:t>
            </w:r>
            <w:proofErr w:type="spellStart"/>
            <w:r w:rsidRPr="00AC547A">
              <w:rPr>
                <w:rFonts w:asciiTheme="minorHAnsi" w:hAnsiTheme="minorHAnsi" w:cstheme="minorHAnsi"/>
              </w:rPr>
              <w:t>Intensive</w:t>
            </w:r>
            <w:proofErr w:type="spellEnd"/>
            <w:r w:rsidRPr="00AC547A">
              <w:rPr>
                <w:rFonts w:asciiTheme="minorHAnsi" w:hAnsiTheme="minorHAnsi" w:cstheme="minorHAnsi"/>
              </w:rPr>
              <w:t>, Hot-Plug 2.5")</w:t>
            </w:r>
            <w:r>
              <w:rPr>
                <w:rFonts w:asciiTheme="minorHAnsi" w:hAnsiTheme="minorHAnsi" w:cstheme="minorHAnsi"/>
              </w:rPr>
              <w:t xml:space="preserve"> o pojemności 960GB każdy.</w:t>
            </w:r>
          </w:p>
        </w:tc>
        <w:tc>
          <w:tcPr>
            <w:tcW w:w="2887" w:type="dxa"/>
          </w:tcPr>
          <w:p w14:paraId="6A6D3E5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9B65FD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5ADD53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3AAB28F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F232060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31D284B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301DE19D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0F89167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56570E77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34EEEDCF" w14:textId="31AE21D9" w:rsidR="00837EA4" w:rsidRPr="00CE1E90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15104990" w14:textId="4D25FA23" w:rsidTr="00837EA4">
        <w:tc>
          <w:tcPr>
            <w:tcW w:w="1998" w:type="dxa"/>
          </w:tcPr>
          <w:p w14:paraId="78541D47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7. Kontroler</w:t>
            </w:r>
          </w:p>
        </w:tc>
        <w:tc>
          <w:tcPr>
            <w:tcW w:w="4177" w:type="dxa"/>
          </w:tcPr>
          <w:p w14:paraId="4DF42786" w14:textId="77777777" w:rsidR="00837EA4" w:rsidRPr="00C205EA" w:rsidRDefault="00837EA4" w:rsidP="00F51E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Serwer wyposażony w kontroler sprzętowy z min. 2GB cache z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CE1E90">
              <w:rPr>
                <w:rFonts w:asciiTheme="minorHAnsi" w:hAnsiTheme="minorHAnsi" w:cstheme="minorHAnsi"/>
                <w:sz w:val="22"/>
              </w:rPr>
              <w:t>mechanizmem podtrzymywania zawartości pamięci cache w razie braku zasilania, zapewniający obsługę 8 napędów dyskowych SAS oraz obsługujący poziomy: RAID 0/1/10/5/50/6/60.</w:t>
            </w:r>
          </w:p>
          <w:p w14:paraId="2A9D2DE7" w14:textId="77777777" w:rsidR="00837EA4" w:rsidRPr="00C205EA" w:rsidRDefault="00837EA4" w:rsidP="00F51E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Kontroler umożliwiający pracę z dyskami w trybach RAID i JBOD jednocześnie</w:t>
            </w:r>
          </w:p>
          <w:p w14:paraId="6AF6B1CF" w14:textId="77777777" w:rsidR="00837EA4" w:rsidRPr="00C205EA" w:rsidRDefault="00837EA4" w:rsidP="00F51E6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Serwer umożliwiający rozbudowę o sprzętowy kontroler RAID zapewniający obsługę RAID </w:t>
            </w: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>0/1/10/5/50/6/60 z 4GB pamięci cache z</w:t>
            </w:r>
            <w:r>
              <w:rPr>
                <w:rFonts w:asciiTheme="minorHAnsi" w:hAnsiTheme="minorHAnsi" w:cstheme="minorHAnsi"/>
                <w:sz w:val="22"/>
              </w:rPr>
              <w:t> </w:t>
            </w:r>
            <w:r w:rsidRPr="00CE1E90">
              <w:rPr>
                <w:rFonts w:asciiTheme="minorHAnsi" w:hAnsiTheme="minorHAnsi" w:cstheme="minorHAnsi"/>
                <w:sz w:val="22"/>
              </w:rPr>
              <w:t>podtrzymywaniem bateryjnym.</w:t>
            </w:r>
          </w:p>
        </w:tc>
        <w:tc>
          <w:tcPr>
            <w:tcW w:w="2887" w:type="dxa"/>
          </w:tcPr>
          <w:p w14:paraId="05BA8D0C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TAK/NIE</w:t>
            </w:r>
          </w:p>
          <w:p w14:paraId="004D58E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02C7998E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32F98BA0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6596FDB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B9AE50F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2826D66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2C75C526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DC80425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640E58F9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120FD3B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44F9E5AF" w14:textId="46FC7A63" w:rsidR="00837EA4" w:rsidRPr="00CE1E90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01581074" w14:textId="41ED43AA" w:rsidTr="00837EA4">
        <w:tc>
          <w:tcPr>
            <w:tcW w:w="1998" w:type="dxa"/>
          </w:tcPr>
          <w:p w14:paraId="2CE2DA6D" w14:textId="5EEFFE81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8.Interfejsy sieciowe</w:t>
            </w:r>
          </w:p>
        </w:tc>
        <w:tc>
          <w:tcPr>
            <w:tcW w:w="4177" w:type="dxa"/>
          </w:tcPr>
          <w:p w14:paraId="15E25B85" w14:textId="77777777" w:rsidR="00837EA4" w:rsidRPr="00C205EA" w:rsidRDefault="00837EA4" w:rsidP="00F51E6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Min. 4 porty Ethernet 100/1000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Mb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/s Base-T z funkcją Wake-On-LAN, wsparciem dla PXE, które nie zajmują gniazd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PCIe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opisanych w sekcji „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Sloty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rozszerzeń”.</w:t>
            </w:r>
          </w:p>
          <w:p w14:paraId="27DDC194" w14:textId="77777777" w:rsidR="00837EA4" w:rsidRPr="00C205EA" w:rsidRDefault="00837EA4" w:rsidP="00F51E69">
            <w:pPr>
              <w:pStyle w:val="Akapitzlist"/>
              <w:numPr>
                <w:ilvl w:val="0"/>
                <w:numId w:val="10"/>
              </w:num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Dwie 2-portowe karty sieciowe Ethernet 10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/s Base-T (łącznie minimum 4 porty 10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Gb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/s Base-T).</w:t>
            </w:r>
          </w:p>
        </w:tc>
        <w:tc>
          <w:tcPr>
            <w:tcW w:w="2887" w:type="dxa"/>
          </w:tcPr>
          <w:p w14:paraId="4632E9D9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F23EB3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0769B1F7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364F48B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7235DA12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649A979" w14:textId="1094DDE0" w:rsidR="00837EA4" w:rsidRPr="00CE1E90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320FCF96" w14:textId="12F76332" w:rsidTr="00837EA4">
        <w:tc>
          <w:tcPr>
            <w:tcW w:w="1998" w:type="dxa"/>
          </w:tcPr>
          <w:p w14:paraId="2A7BE2C5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9. Karta graficzna</w:t>
            </w:r>
          </w:p>
        </w:tc>
        <w:tc>
          <w:tcPr>
            <w:tcW w:w="4177" w:type="dxa"/>
          </w:tcPr>
          <w:p w14:paraId="6DB774FC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Zintegrowana karta graficzna</w:t>
            </w:r>
          </w:p>
        </w:tc>
        <w:tc>
          <w:tcPr>
            <w:tcW w:w="2887" w:type="dxa"/>
          </w:tcPr>
          <w:p w14:paraId="37A53FA5" w14:textId="5353A1BC" w:rsidR="00837EA4" w:rsidRPr="00CE1E90" w:rsidRDefault="00837EA4" w:rsidP="00837E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4161FC8B" w14:textId="5987658C" w:rsidTr="00837EA4">
        <w:tc>
          <w:tcPr>
            <w:tcW w:w="1998" w:type="dxa"/>
          </w:tcPr>
          <w:p w14:paraId="239B7C3E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10. Porty</w:t>
            </w:r>
          </w:p>
        </w:tc>
        <w:tc>
          <w:tcPr>
            <w:tcW w:w="4177" w:type="dxa"/>
          </w:tcPr>
          <w:p w14:paraId="1EFA2CB1" w14:textId="77777777" w:rsidR="00837EA4" w:rsidRPr="00C205EA" w:rsidRDefault="00837EA4" w:rsidP="00F51E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4 x USB (w tym min. 2 USB 3.0 i 1 port USB wewnętrzny)</w:t>
            </w:r>
          </w:p>
          <w:p w14:paraId="7E9157CA" w14:textId="77777777" w:rsidR="00837EA4" w:rsidRPr="00C205EA" w:rsidRDefault="00837EA4" w:rsidP="00F51E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1x VGA </w:t>
            </w:r>
          </w:p>
          <w:p w14:paraId="28E1EA41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Możliwość rozbudowy o:</w:t>
            </w:r>
          </w:p>
          <w:p w14:paraId="7DE47B7A" w14:textId="77777777" w:rsidR="00837EA4" w:rsidRPr="00C205EA" w:rsidRDefault="00837EA4" w:rsidP="00F51E6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port szeregowy typu DB9/DE-9 (9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pinowy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), wyprowadzony na zewnątrz obudowy bez pośrednictwa portu USB/RJ45.</w:t>
            </w:r>
          </w:p>
        </w:tc>
        <w:tc>
          <w:tcPr>
            <w:tcW w:w="2887" w:type="dxa"/>
          </w:tcPr>
          <w:p w14:paraId="24D5185A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7D5CCA8A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3A4F8613" w14:textId="72571E58" w:rsidR="00837EA4" w:rsidRPr="00CE1E90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2B6F9296" w14:textId="17D7550E" w:rsidTr="00837EA4">
        <w:tc>
          <w:tcPr>
            <w:tcW w:w="1998" w:type="dxa"/>
          </w:tcPr>
          <w:p w14:paraId="672238D6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11. Pamięć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flash</w:t>
            </w:r>
            <w:proofErr w:type="spellEnd"/>
          </w:p>
        </w:tc>
        <w:tc>
          <w:tcPr>
            <w:tcW w:w="4177" w:type="dxa"/>
          </w:tcPr>
          <w:p w14:paraId="26EB4981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Serwer umożliwiający instalację pamięci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flash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w postaci kart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microSD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/SD zapewniających minimalną pojemność 8GB.</w:t>
            </w:r>
          </w:p>
        </w:tc>
        <w:tc>
          <w:tcPr>
            <w:tcW w:w="2887" w:type="dxa"/>
          </w:tcPr>
          <w:p w14:paraId="3AE6BEDF" w14:textId="001E1519" w:rsidR="00837EA4" w:rsidRPr="00CE1E90" w:rsidRDefault="00837EA4" w:rsidP="00837E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4F59E491" w14:textId="4135411C" w:rsidTr="00837EA4">
        <w:tc>
          <w:tcPr>
            <w:tcW w:w="1998" w:type="dxa"/>
          </w:tcPr>
          <w:p w14:paraId="72574B39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12. Zasilacz</w:t>
            </w:r>
          </w:p>
        </w:tc>
        <w:tc>
          <w:tcPr>
            <w:tcW w:w="4177" w:type="dxa"/>
          </w:tcPr>
          <w:p w14:paraId="19EDB588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val="sv-SE"/>
              </w:rPr>
            </w:pPr>
            <w:r w:rsidRPr="00CE1E90">
              <w:rPr>
                <w:rFonts w:asciiTheme="minorHAnsi" w:hAnsiTheme="minorHAnsi" w:cstheme="minorHAnsi"/>
                <w:sz w:val="22"/>
                <w:lang w:val="sv-SE"/>
              </w:rPr>
              <w:t xml:space="preserve">2 szt., typu Hot-plug, redundantne, każdy o mocy </w:t>
            </w:r>
            <w:r w:rsidRPr="00CE1E90">
              <w:rPr>
                <w:rFonts w:asciiTheme="minorHAnsi" w:hAnsiTheme="minorHAnsi" w:cstheme="minorHAnsi"/>
                <w:sz w:val="22"/>
              </w:rPr>
              <w:t>minimum 500W.</w:t>
            </w:r>
          </w:p>
        </w:tc>
        <w:tc>
          <w:tcPr>
            <w:tcW w:w="2887" w:type="dxa"/>
          </w:tcPr>
          <w:p w14:paraId="330FAFAE" w14:textId="0FA87EAB" w:rsidR="00837EA4" w:rsidRPr="00CE1E90" w:rsidRDefault="00837EA4" w:rsidP="00837E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lang w:val="sv-SE"/>
              </w:rPr>
              <w:t>TAK/NIE</w:t>
            </w:r>
          </w:p>
        </w:tc>
      </w:tr>
      <w:tr w:rsidR="00837EA4" w:rsidRPr="00CE1E90" w14:paraId="7E1EBE86" w14:textId="7BD37E40" w:rsidTr="00837EA4">
        <w:tc>
          <w:tcPr>
            <w:tcW w:w="1998" w:type="dxa"/>
          </w:tcPr>
          <w:p w14:paraId="46A2776D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13. Chłodzenie</w:t>
            </w:r>
          </w:p>
        </w:tc>
        <w:tc>
          <w:tcPr>
            <w:tcW w:w="4177" w:type="dxa"/>
          </w:tcPr>
          <w:p w14:paraId="61CC67E3" w14:textId="77777777" w:rsidR="00837EA4" w:rsidRPr="00C205EA" w:rsidRDefault="00837EA4" w:rsidP="00F51E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Zestaw wentylatorów redundantnych typu hot-plug</w:t>
            </w:r>
          </w:p>
          <w:p w14:paraId="79BA60C1" w14:textId="77777777" w:rsidR="00837EA4" w:rsidRPr="00C205EA" w:rsidRDefault="00837EA4" w:rsidP="00F51E6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Możliwość skonfigurowania serwera do pracy w temperaturze otoczenia równej 45st.C, tak, żeby zapewnić zgodność ze standardem ASHRAE Class A4.</w:t>
            </w:r>
          </w:p>
        </w:tc>
        <w:tc>
          <w:tcPr>
            <w:tcW w:w="2887" w:type="dxa"/>
          </w:tcPr>
          <w:p w14:paraId="4917FAFA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1247F858" w14:textId="77777777" w:rsidR="00837EA4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</w:p>
          <w:p w14:paraId="7B9F477F" w14:textId="1C85B612" w:rsidR="00837EA4" w:rsidRPr="00CE1E90" w:rsidRDefault="00837EA4" w:rsidP="00837EA4">
            <w:pPr>
              <w:pStyle w:val="Akapitzlist"/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1E9925B6" w14:textId="2886C2DB" w:rsidTr="00837EA4">
        <w:tc>
          <w:tcPr>
            <w:tcW w:w="1998" w:type="dxa"/>
          </w:tcPr>
          <w:p w14:paraId="7C8028F7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14. Napęd</w:t>
            </w:r>
          </w:p>
        </w:tc>
        <w:tc>
          <w:tcPr>
            <w:tcW w:w="4177" w:type="dxa"/>
          </w:tcPr>
          <w:p w14:paraId="5BB08989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Możliwość instalacji wewnętrznego napędu DVD-ROM lub DVD-RW.</w:t>
            </w:r>
          </w:p>
        </w:tc>
        <w:tc>
          <w:tcPr>
            <w:tcW w:w="2887" w:type="dxa"/>
          </w:tcPr>
          <w:p w14:paraId="54EE1ECE" w14:textId="6C559FCD" w:rsidR="00837EA4" w:rsidRPr="00CE1E90" w:rsidRDefault="00726EE1" w:rsidP="00726E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  <w:tr w:rsidR="00837EA4" w:rsidRPr="00CE1E90" w14:paraId="548F6C9B" w14:textId="4E20971B" w:rsidTr="00837EA4">
        <w:tc>
          <w:tcPr>
            <w:tcW w:w="1998" w:type="dxa"/>
          </w:tcPr>
          <w:p w14:paraId="744881E5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>15. Karta/moduł zarządzający</w:t>
            </w:r>
          </w:p>
        </w:tc>
        <w:tc>
          <w:tcPr>
            <w:tcW w:w="4177" w:type="dxa"/>
            <w:vAlign w:val="center"/>
          </w:tcPr>
          <w:p w14:paraId="1CAC12AC" w14:textId="77777777" w:rsidR="00837EA4" w:rsidRPr="00C205EA" w:rsidRDefault="00837EA4" w:rsidP="003E00C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Niezależna od systemu operacyjnego, zintegrowana z płytą główną serwera lub jako dodatkowa karta w slocie PCI Express, jednak nie może ona powodować zmniejszenia minimalnej liczby gniazd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PCIe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w serwerze, posiadająca minimalną funkcjonalność:</w:t>
            </w:r>
          </w:p>
          <w:p w14:paraId="10551A4B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monitorowanie podzespołów serwera: temperatura, zasilacze, wentylatory, procesory, pamięć RAM, kontrolery macierzowe i dyski (fizyczne i logiczne), karty sieciowe </w:t>
            </w:r>
          </w:p>
          <w:p w14:paraId="2BDE5F80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wparcie dla agentów zarządzających oraz możliwość pracy w trybie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bezagentowym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– bez agentów zarządzania instalowanych w systemie operacyjnym z generowaniem alertów SNMP</w:t>
            </w:r>
          </w:p>
          <w:p w14:paraId="0D028A71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dostęp do karty zarządzającej poprzez </w:t>
            </w:r>
          </w:p>
          <w:p w14:paraId="3585DBD5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dedykowany port RJ45 z tyłu serwera</w:t>
            </w:r>
          </w:p>
          <w:p w14:paraId="6B4F387E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przez współdzielony port zintegrowanej karty sieciowej serwera  </w:t>
            </w:r>
          </w:p>
          <w:p w14:paraId="593729DD" w14:textId="77777777" w:rsidR="00837EA4" w:rsidRPr="00C205EA" w:rsidRDefault="00837EA4" w:rsidP="003E00CA">
            <w:pPr>
              <w:spacing w:line="360" w:lineRule="auto"/>
              <w:ind w:left="72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      dostęp do karty możliwy </w:t>
            </w:r>
          </w:p>
          <w:p w14:paraId="344DF94C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 poziomu przeglądarki webowej (GUI)</w:t>
            </w:r>
          </w:p>
          <w:p w14:paraId="2E61B5AC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lang w:val="en-GB"/>
              </w:rPr>
            </w:pPr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z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poziomu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linii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komend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;</w:t>
            </w:r>
          </w:p>
          <w:p w14:paraId="758351E3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 poziomu skryptu (XML/Perl)</w:t>
            </w:r>
          </w:p>
          <w:p w14:paraId="49E95977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poprzez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interfejs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 IPMI 2.0 (Intelligent Platform Management Interface)</w:t>
            </w:r>
          </w:p>
          <w:p w14:paraId="181A0891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>wbudowane narzędzia diagnostyczne</w:t>
            </w:r>
          </w:p>
          <w:p w14:paraId="39C77074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zdalna konfiguracja serwera (BIOS) i instalacji systemu operacyjnego</w:t>
            </w:r>
          </w:p>
          <w:p w14:paraId="3331DA73" w14:textId="0B1F0488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obsługa mechanizmu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remote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26EE1">
              <w:rPr>
                <w:rFonts w:asciiTheme="minorHAnsi" w:hAnsiTheme="minorHAnsi" w:cstheme="minorHAnsi"/>
                <w:sz w:val="22"/>
              </w:rPr>
              <w:pgNum/>
            </w:r>
            <w:proofErr w:type="spellStart"/>
            <w:r w:rsidR="00726EE1">
              <w:rPr>
                <w:rFonts w:asciiTheme="minorHAnsi" w:hAnsiTheme="minorHAnsi" w:cstheme="minorHAnsi"/>
                <w:sz w:val="22"/>
              </w:rPr>
              <w:t>uport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26EE1">
              <w:rPr>
                <w:rFonts w:asciiTheme="minorHAnsi" w:hAnsiTheme="minorHAnsi" w:cstheme="minorHAnsi"/>
                <w:sz w:val="22"/>
              </w:rPr>
              <w:t>–</w:t>
            </w:r>
            <w:r w:rsidRPr="00CE1E90">
              <w:rPr>
                <w:rFonts w:asciiTheme="minorHAnsi" w:hAnsiTheme="minorHAnsi" w:cstheme="minorHAnsi"/>
                <w:sz w:val="22"/>
              </w:rPr>
              <w:t xml:space="preserve"> automatyczne połączenie karty z serwisem producenta sprzętu, automatyczne przesyłanie alertów, zgłoszeń serwisowych i zdalne monitorowanie</w:t>
            </w:r>
          </w:p>
          <w:p w14:paraId="1A962C1F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0E275989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przesyłanie alertów poprzez e-mail oraz przekierowanie SNMP (SNMP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passthrough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</w:t>
            </w:r>
          </w:p>
          <w:p w14:paraId="16A2A00F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obsługa zdalnego serwera logów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remote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syslog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</w:t>
            </w:r>
          </w:p>
          <w:p w14:paraId="77E31745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wirtualna zdalna konsola, tekstowa i graficzna, z dostępem do myszy i klawiatury i możliwością podłączenia wirtualnych napędów FDD, CD/DVD i USB i wirtualnych folderów </w:t>
            </w:r>
          </w:p>
          <w:p w14:paraId="5E009844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mechanizm przechwytywania, nagrywania i odtwarzania sekwencji video dla ostatniej awarii i ostatniego startu serwera a także nagrywanie na żądanie</w:t>
            </w:r>
          </w:p>
          <w:p w14:paraId="57DE5F9D" w14:textId="7EA6BEAE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funkcja zdalnej konsoli szeregowej </w:t>
            </w:r>
            <w:r w:rsidR="00726EE1">
              <w:rPr>
                <w:rFonts w:asciiTheme="minorHAnsi" w:hAnsiTheme="minorHAnsi" w:cstheme="minorHAnsi"/>
                <w:sz w:val="22"/>
              </w:rPr>
              <w:t>–</w:t>
            </w:r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Textcons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przez SSH (wirtualny port </w:t>
            </w: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 xml:space="preserve">szeregowy) z funkcją nagrywania i odtwarzania sekwencji zdarzeń i aktywności </w:t>
            </w:r>
          </w:p>
          <w:p w14:paraId="0906EDFE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monitorowanie zasilania oraz zużycia energii przez serwer w czasie rzeczywistym z możliwością graficznej prezentacji</w:t>
            </w:r>
          </w:p>
          <w:p w14:paraId="69E4E896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konfiguracja maksymalnego poziomu pobieranej mocy przez serwer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capping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0DBBAEFE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zdalna aktualizacja oprogramowania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firmware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</w:t>
            </w:r>
          </w:p>
          <w:p w14:paraId="7434FA59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zarządzanie grupami serwerów, w tym:</w:t>
            </w:r>
          </w:p>
          <w:p w14:paraId="2F750B63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tworzenie i konfiguracja grup serwerów</w:t>
            </w:r>
          </w:p>
          <w:p w14:paraId="3842B3E6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sterowanie zasilaniem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wł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/wył) </w:t>
            </w:r>
          </w:p>
          <w:p w14:paraId="71FC5DB6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ograniczenie poboru mocy dla grupy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power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caping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</w:t>
            </w:r>
          </w:p>
          <w:p w14:paraId="79A4032E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aktualizacja oprogramowania (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firmware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>)</w:t>
            </w:r>
          </w:p>
          <w:p w14:paraId="241AE37D" w14:textId="77777777" w:rsidR="00837EA4" w:rsidRPr="00C205EA" w:rsidRDefault="00837EA4" w:rsidP="00F51E69">
            <w:pPr>
              <w:numPr>
                <w:ilvl w:val="1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wspólne wirtualne media dla grupy</w:t>
            </w:r>
          </w:p>
          <w:p w14:paraId="3695FBEA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możliwość równoczesnej obsługi przez 6 administratorów</w:t>
            </w:r>
          </w:p>
          <w:p w14:paraId="32EE211E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wsparcie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>dla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GB"/>
              </w:rPr>
              <w:t xml:space="preserve"> Microsoft Active Directory</w:t>
            </w:r>
          </w:p>
          <w:p w14:paraId="74793EF5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obsługa SSL i SSH</w:t>
            </w:r>
          </w:p>
          <w:p w14:paraId="6A712CA5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enkrypcja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AES/3DES</w:t>
            </w:r>
          </w:p>
          <w:p w14:paraId="12CAA8A9" w14:textId="132C3F6E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>wsparcie dla I</w:t>
            </w:r>
            <w:r w:rsidR="00726EE1" w:rsidRPr="00CE1E90">
              <w:rPr>
                <w:rFonts w:asciiTheme="minorHAnsi" w:hAnsiTheme="minorHAnsi" w:cstheme="minorHAnsi"/>
                <w:sz w:val="22"/>
              </w:rPr>
              <w:t>p</w:t>
            </w:r>
            <w:r w:rsidRPr="00CE1E90">
              <w:rPr>
                <w:rFonts w:asciiTheme="minorHAnsi" w:hAnsiTheme="minorHAnsi" w:cstheme="minorHAnsi"/>
                <w:sz w:val="22"/>
              </w:rPr>
              <w:t xml:space="preserve">v4 oraz iPv6, obsługa SNMP v3 oraz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RESTful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API</w:t>
            </w:r>
          </w:p>
          <w:p w14:paraId="03B51265" w14:textId="77777777" w:rsidR="00837EA4" w:rsidRPr="00C205EA" w:rsidRDefault="00837EA4" w:rsidP="00F51E69">
            <w:pPr>
              <w:numPr>
                <w:ilvl w:val="0"/>
                <w:numId w:val="3"/>
              </w:numPr>
              <w:spacing w:after="0" w:line="360" w:lineRule="auto"/>
              <w:ind w:right="0"/>
              <w:contextualSpacing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 xml:space="preserve">możliwość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autokonfiguracji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sieci karty zarządzającej (DNS/DHCP)</w:t>
            </w:r>
          </w:p>
        </w:tc>
        <w:tc>
          <w:tcPr>
            <w:tcW w:w="2887" w:type="dxa"/>
          </w:tcPr>
          <w:p w14:paraId="649E1CBD" w14:textId="77777777" w:rsidR="00837EA4" w:rsidRDefault="00837EA4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760F629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BFE5B6D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5679FE6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13696AF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D619C35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019483C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03CA2E2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2340F7B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174DFA5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4F322E9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74E81A7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5283BD0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0FBB5CA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5BE3AD4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149E726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A6388A7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5D4428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0B6894B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D7DA303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E88504A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A69A3B6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2736005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441EEB8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E3B920D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52F5CF1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1CF7547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181E761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D1CD90E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D4D7163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955CBB7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EBC819E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AAFA2DD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E2317A9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TAK/NIE</w:t>
            </w:r>
          </w:p>
          <w:p w14:paraId="401E359B" w14:textId="77777777" w:rsidR="00511529" w:rsidRDefault="00511529" w:rsidP="00726EE1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F688E23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57921B8B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47884DB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2F370C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729E66A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467A493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9B57C08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535C7A2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24A9CB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64D3E498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B445C5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4CB9152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9357ADC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6CC402A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5743A9D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7B768482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318276F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48B1A85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7A1284DC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7204A55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7715CF6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8F3C8AB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98A9C86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B3BADBD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6FD6A86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9FF67E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1FE57379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BB7498D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B1AE722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632B71F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81B5361" w14:textId="52A7E306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0DBD30F4" w14:textId="2E0BB6F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276EFA9" w14:textId="77D4D645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B2D17E4" w14:textId="4BFA655C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00F6AF6" w14:textId="4567815A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2EDA2659" w14:textId="01FDF735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7015BB0" w14:textId="5A27219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A408699" w14:textId="08786398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D9160B0" w14:textId="63555673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5BE2660C" w14:textId="1771C642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2CF9B09" w14:textId="717B5F90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50E1978" w14:textId="2B56B0F8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37CFF2E2" w14:textId="3FA5AB4F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1A9BC0E" w14:textId="77A0546D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5DEA4A7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C30E5FB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1D9F0117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D8C8F7A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F0A0FCE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770799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1045658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148D7F8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EE3F8AB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2549D47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C40C14C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3DC72A9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29C2569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1E38AA48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8F0518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5C4E7861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2F06C873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4C44472C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1B5588D2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  <w:p w14:paraId="209704CB" w14:textId="77777777" w:rsidR="00511529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5351D195" w14:textId="5C9FA893" w:rsidR="00511529" w:rsidRPr="00CE1E90" w:rsidRDefault="00511529" w:rsidP="00511529">
            <w:pPr>
              <w:spacing w:line="360" w:lineRule="auto"/>
              <w:ind w:left="708" w:hanging="70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TAK/NIE</w:t>
            </w:r>
          </w:p>
        </w:tc>
      </w:tr>
      <w:tr w:rsidR="00837EA4" w:rsidRPr="00CE1E90" w14:paraId="1B50E110" w14:textId="04E214C1" w:rsidTr="00837EA4">
        <w:tc>
          <w:tcPr>
            <w:tcW w:w="1998" w:type="dxa"/>
          </w:tcPr>
          <w:p w14:paraId="1D464DD4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lastRenderedPageBreak/>
              <w:t xml:space="preserve">16. Wsparcie dla systemów operacyjnych i systemów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wirtualizacyjnych</w:t>
            </w:r>
            <w:proofErr w:type="spellEnd"/>
          </w:p>
        </w:tc>
        <w:tc>
          <w:tcPr>
            <w:tcW w:w="4177" w:type="dxa"/>
            <w:vAlign w:val="center"/>
          </w:tcPr>
          <w:p w14:paraId="2D24777D" w14:textId="77777777" w:rsidR="00837EA4" w:rsidRPr="00C205EA" w:rsidRDefault="00837EA4" w:rsidP="00F51E69">
            <w:pPr>
              <w:pStyle w:val="Akapitzlist"/>
              <w:numPr>
                <w:ilvl w:val="0"/>
                <w:numId w:val="11"/>
              </w:numPr>
              <w:spacing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E1E90">
              <w:rPr>
                <w:rFonts w:asciiTheme="minorHAnsi" w:hAnsiTheme="minorHAnsi" w:cstheme="minorHAnsi"/>
                <w:sz w:val="22"/>
                <w:lang w:val="en-US"/>
              </w:rPr>
              <w:t>Microsoft Windows Server 2012 R2, 2016, 2019</w:t>
            </w:r>
          </w:p>
          <w:p w14:paraId="6B08B619" w14:textId="15056460" w:rsidR="00837EA4" w:rsidRPr="00C205EA" w:rsidRDefault="00837EA4" w:rsidP="00F51E69">
            <w:pPr>
              <w:pStyle w:val="Akapitzlist"/>
              <w:numPr>
                <w:ilvl w:val="0"/>
                <w:numId w:val="11"/>
              </w:numPr>
              <w:spacing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E1E90">
              <w:rPr>
                <w:rFonts w:asciiTheme="minorHAnsi" w:hAnsiTheme="minorHAnsi" w:cstheme="minorHAnsi"/>
                <w:sz w:val="22"/>
                <w:lang w:val="en-US"/>
              </w:rPr>
              <w:t>Red Hat Enterprise Linux (RHEL) 7.x</w:t>
            </w:r>
          </w:p>
          <w:p w14:paraId="483EC60E" w14:textId="77777777" w:rsidR="00837EA4" w:rsidRPr="00C205EA" w:rsidRDefault="00837EA4" w:rsidP="00F51E69">
            <w:pPr>
              <w:pStyle w:val="Akapitzlist"/>
              <w:numPr>
                <w:ilvl w:val="0"/>
                <w:numId w:val="11"/>
              </w:numPr>
              <w:spacing w:line="360" w:lineRule="auto"/>
              <w:jc w:val="left"/>
              <w:rPr>
                <w:rFonts w:asciiTheme="minorHAnsi" w:hAnsiTheme="minorHAnsi" w:cstheme="minorHAnsi"/>
                <w:lang w:val="en-US"/>
              </w:rPr>
            </w:pPr>
            <w:r w:rsidRPr="00CE1E90">
              <w:rPr>
                <w:rFonts w:asciiTheme="minorHAnsi" w:hAnsiTheme="minorHAnsi" w:cstheme="minorHAnsi"/>
                <w:sz w:val="22"/>
                <w:lang w:val="en-US"/>
              </w:rPr>
              <w:t xml:space="preserve">SUSE Linux Server (SLES) 11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  <w:lang w:val="en-US"/>
              </w:rPr>
              <w:t>oraz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  <w:lang w:val="en-US"/>
              </w:rPr>
              <w:t xml:space="preserve"> 12</w:t>
            </w:r>
          </w:p>
          <w:p w14:paraId="2B40F35C" w14:textId="77777777" w:rsidR="00837EA4" w:rsidRPr="00C205EA" w:rsidRDefault="00837EA4" w:rsidP="00F51E69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CentOS</w:t>
            </w:r>
            <w:proofErr w:type="spellEnd"/>
          </w:p>
          <w:p w14:paraId="75C4D5F4" w14:textId="77777777" w:rsidR="00837EA4" w:rsidRPr="00C205EA" w:rsidRDefault="00837EA4" w:rsidP="00F51E69">
            <w:pPr>
              <w:pStyle w:val="Akapitzlist"/>
              <w:numPr>
                <w:ilvl w:val="0"/>
                <w:numId w:val="11"/>
              </w:num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VMware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CE1E90">
              <w:rPr>
                <w:rFonts w:asciiTheme="minorHAnsi" w:hAnsiTheme="minorHAnsi" w:cstheme="minorHAnsi"/>
                <w:sz w:val="22"/>
              </w:rPr>
              <w:t>ESXi</w:t>
            </w:r>
            <w:proofErr w:type="spellEnd"/>
            <w:r w:rsidRPr="00CE1E90">
              <w:rPr>
                <w:rFonts w:asciiTheme="minorHAnsi" w:hAnsiTheme="minorHAnsi" w:cstheme="minorHAnsi"/>
                <w:sz w:val="22"/>
              </w:rPr>
              <w:t xml:space="preserve"> 6.0, 6.5, 6.7</w:t>
            </w:r>
          </w:p>
        </w:tc>
        <w:tc>
          <w:tcPr>
            <w:tcW w:w="2887" w:type="dxa"/>
          </w:tcPr>
          <w:p w14:paraId="1333785C" w14:textId="77777777" w:rsidR="00837EA4" w:rsidRDefault="00726EE1" w:rsidP="00726EE1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 xml:space="preserve"> TAK/NIE</w:t>
            </w:r>
          </w:p>
          <w:p w14:paraId="7F70B39E" w14:textId="77777777" w:rsidR="00726EE1" w:rsidRDefault="00726EE1" w:rsidP="00726EE1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1F3DB350" w14:textId="77777777" w:rsidR="00726EE1" w:rsidRDefault="00726EE1" w:rsidP="00726EE1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TAK/NIE</w:t>
            </w:r>
          </w:p>
          <w:p w14:paraId="6AE86A5B" w14:textId="77777777" w:rsidR="00726EE1" w:rsidRDefault="00726EE1" w:rsidP="00726EE1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TAK/NIE</w:t>
            </w:r>
          </w:p>
          <w:p w14:paraId="7DFA7D77" w14:textId="77777777" w:rsidR="00726EE1" w:rsidRDefault="00726EE1" w:rsidP="00726EE1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TAK/NIE</w:t>
            </w:r>
          </w:p>
          <w:p w14:paraId="7042D87F" w14:textId="65328DE3" w:rsidR="00726EE1" w:rsidRPr="00726EE1" w:rsidRDefault="00726EE1" w:rsidP="00726EE1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TAK/NIE</w:t>
            </w:r>
          </w:p>
        </w:tc>
      </w:tr>
      <w:tr w:rsidR="00837EA4" w:rsidRPr="00CE1E90" w14:paraId="1C478598" w14:textId="4F787CAB" w:rsidTr="00837EA4">
        <w:tc>
          <w:tcPr>
            <w:tcW w:w="1998" w:type="dxa"/>
          </w:tcPr>
          <w:p w14:paraId="08D6DA30" w14:textId="77777777" w:rsidR="00837EA4" w:rsidRPr="00C205EA" w:rsidRDefault="00837EA4" w:rsidP="003E0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CE1E90">
              <w:rPr>
                <w:rFonts w:asciiTheme="minorHAnsi" w:hAnsiTheme="minorHAnsi" w:cstheme="minorHAnsi"/>
                <w:sz w:val="22"/>
              </w:rPr>
              <w:t xml:space="preserve">17. Certyfikaty i oświadczenia </w:t>
            </w:r>
          </w:p>
        </w:tc>
        <w:tc>
          <w:tcPr>
            <w:tcW w:w="4177" w:type="dxa"/>
            <w:vAlign w:val="center"/>
          </w:tcPr>
          <w:p w14:paraId="357D1FD5" w14:textId="3F0A7D75" w:rsidR="00837EA4" w:rsidRPr="00C205EA" w:rsidRDefault="00837EA4" w:rsidP="00F51E69">
            <w:pPr>
              <w:pStyle w:val="Akapitzlist"/>
              <w:numPr>
                <w:ilvl w:val="0"/>
                <w:numId w:val="13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CE1E90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CE1E90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726EE1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726EE1" w:rsidRPr="00726EE1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lub </w:t>
            </w:r>
            <w:r w:rsidR="00563B68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inny </w:t>
            </w:r>
            <w:r w:rsidR="00726EE1" w:rsidRPr="00726EE1">
              <w:rPr>
                <w:rFonts w:asciiTheme="minorHAnsi" w:hAnsiTheme="minorHAnsi" w:cstheme="minorHAnsi"/>
                <w:bCs/>
                <w:color w:val="auto"/>
                <w:sz w:val="22"/>
              </w:rPr>
              <w:t>równoważn</w:t>
            </w:r>
            <w:r w:rsidR="00563B68">
              <w:rPr>
                <w:rFonts w:asciiTheme="minorHAnsi" w:hAnsiTheme="minorHAnsi" w:cstheme="minorHAnsi"/>
                <w:bCs/>
                <w:color w:val="auto"/>
                <w:sz w:val="22"/>
              </w:rPr>
              <w:t>y certyfikat tj.: dokumentu potwierdzający takie same warunki jak określone w wymienionym certyfikacie CE.</w:t>
            </w:r>
            <w:r w:rsidR="00726EE1" w:rsidRPr="00726EE1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 </w:t>
            </w:r>
          </w:p>
          <w:p w14:paraId="1C3AF14B" w14:textId="77777777" w:rsidR="00837EA4" w:rsidRPr="00C205EA" w:rsidRDefault="00837EA4" w:rsidP="00F51E69">
            <w:pPr>
              <w:pStyle w:val="Akapitzlist"/>
              <w:numPr>
                <w:ilvl w:val="0"/>
                <w:numId w:val="13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Oferowane </w:t>
            </w:r>
            <w:r w:rsidRPr="00CE1E90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serwery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</w:rPr>
              <w:t>muszą być</w:t>
            </w:r>
            <w:r w:rsidRPr="00CE1E90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 wyprodukowane zgodnie z </w:t>
            </w:r>
            <w:r w:rsidRPr="00CE1E90">
              <w:rPr>
                <w:rFonts w:asciiTheme="minorHAnsi" w:hAnsiTheme="minorHAnsi" w:cstheme="minorHAnsi"/>
                <w:color w:val="auto"/>
                <w:sz w:val="22"/>
              </w:rPr>
              <w:t>ISO 9001 oraz ISO 14001 lub równoważną.</w:t>
            </w:r>
          </w:p>
        </w:tc>
        <w:tc>
          <w:tcPr>
            <w:tcW w:w="2887" w:type="dxa"/>
          </w:tcPr>
          <w:p w14:paraId="4C987F6C" w14:textId="77777777" w:rsidR="00837EA4" w:rsidRDefault="00726EE1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TAK</w:t>
            </w:r>
            <w:r w:rsidR="00563B68">
              <w:rPr>
                <w:rFonts w:asciiTheme="minorHAnsi" w:hAnsiTheme="minorHAnsi" w:cstheme="minorHAnsi"/>
                <w:color w:val="auto"/>
                <w:sz w:val="22"/>
              </w:rPr>
              <w:t>/NIE</w:t>
            </w:r>
          </w:p>
          <w:p w14:paraId="3F1FFEB0" w14:textId="77777777" w:rsidR="00563B68" w:rsidRDefault="00563B68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8460C56" w14:textId="77777777" w:rsidR="00563B68" w:rsidRDefault="00563B68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543A7E3" w14:textId="77777777" w:rsidR="00563B68" w:rsidRDefault="00563B68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7E6ADC45" w14:textId="77777777" w:rsidR="00563B68" w:rsidRDefault="00563B68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43BBAE6" w14:textId="77777777" w:rsidR="00563B68" w:rsidRDefault="00563B68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C5381C3" w14:textId="6B9FEB6D" w:rsidR="00563B68" w:rsidRPr="00CE1E90" w:rsidRDefault="00563B68" w:rsidP="00726EE1">
            <w:pPr>
              <w:pStyle w:val="Akapitzlist"/>
              <w:suppressAutoHyphens/>
              <w:spacing w:after="0" w:line="360" w:lineRule="auto"/>
              <w:ind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TAK/NIE</w:t>
            </w:r>
          </w:p>
        </w:tc>
      </w:tr>
      <w:tr w:rsidR="00837EA4" w:rsidRPr="00F51E69" w14:paraId="38C5FF9E" w14:textId="0AA60749" w:rsidTr="00837EA4">
        <w:trPr>
          <w:trHeight w:val="1084"/>
        </w:trPr>
        <w:tc>
          <w:tcPr>
            <w:tcW w:w="1998" w:type="dxa"/>
          </w:tcPr>
          <w:p w14:paraId="6A5CF0D0" w14:textId="12CA3575" w:rsidR="00837EA4" w:rsidRPr="00CE1E90" w:rsidRDefault="00837EA4" w:rsidP="003E0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18. Gwarancja</w:t>
            </w:r>
          </w:p>
        </w:tc>
        <w:tc>
          <w:tcPr>
            <w:tcW w:w="4177" w:type="dxa"/>
            <w:vAlign w:val="center"/>
          </w:tcPr>
          <w:p w14:paraId="5EB61B79" w14:textId="7B82360C" w:rsidR="00837EA4" w:rsidRPr="00F51E69" w:rsidRDefault="00837EA4" w:rsidP="00F51E69">
            <w:pPr>
              <w:pStyle w:val="Akapitzlist"/>
              <w:spacing w:after="0" w:line="240" w:lineRule="auto"/>
              <w:ind w:left="284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36 miesiące. </w:t>
            </w:r>
            <w:r w:rsidRPr="00F51E69">
              <w:rPr>
                <w:rFonts w:asciiTheme="minorHAnsi" w:hAnsiTheme="minorHAnsi" w:cstheme="minorHAnsi"/>
                <w:color w:val="auto"/>
                <w:sz w:val="22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F51E69">
              <w:rPr>
                <w:rFonts w:asciiTheme="minorHAnsi" w:hAnsiTheme="minorHAnsi" w:cstheme="minorHAnsi"/>
                <w:color w:val="auto"/>
                <w:sz w:val="22"/>
              </w:rPr>
              <w:t>firmware</w:t>
            </w:r>
            <w:proofErr w:type="spellEnd"/>
            <w:r w:rsidRPr="00F51E69">
              <w:rPr>
                <w:rFonts w:asciiTheme="minorHAnsi" w:hAnsiTheme="minorHAnsi" w:cstheme="minorHAnsi"/>
                <w:color w:val="auto"/>
                <w:sz w:val="22"/>
              </w:rPr>
              <w:t xml:space="preserve"> i sterowników (na płytach CD lub stronach internetowych).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F51E69">
              <w:rPr>
                <w:rFonts w:asciiTheme="minorHAnsi" w:hAnsiTheme="minorHAnsi" w:cstheme="minorHAnsi"/>
                <w:color w:val="auto"/>
                <w:sz w:val="22"/>
              </w:rPr>
              <w:t>W przypadku awarii dysków pozostają one własnością Zamawiającego.</w:t>
            </w:r>
          </w:p>
          <w:p w14:paraId="0A8F5BEB" w14:textId="0B48E3C0" w:rsidR="00837EA4" w:rsidRPr="00F51E69" w:rsidRDefault="00837EA4" w:rsidP="00F51E69">
            <w:p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887" w:type="dxa"/>
          </w:tcPr>
          <w:p w14:paraId="1E722F26" w14:textId="1C9E43E2" w:rsidR="00837EA4" w:rsidRDefault="00A16F4F" w:rsidP="00A16F4F">
            <w:pPr>
              <w:pStyle w:val="Akapitzlist"/>
              <w:spacing w:after="0" w:line="240" w:lineRule="auto"/>
              <w:ind w:left="284" w:righ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TAK/NIE</w:t>
            </w:r>
          </w:p>
        </w:tc>
      </w:tr>
      <w:tr w:rsidR="00837EA4" w:rsidRPr="00F51E69" w14:paraId="22C0CCE1" w14:textId="1D877E0D" w:rsidTr="00837EA4">
        <w:tc>
          <w:tcPr>
            <w:tcW w:w="1998" w:type="dxa"/>
          </w:tcPr>
          <w:p w14:paraId="7FF122DC" w14:textId="7A2D74AD" w:rsidR="00837EA4" w:rsidRDefault="00837EA4" w:rsidP="003E00C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19. Oprogramowanie systemowe</w:t>
            </w:r>
          </w:p>
        </w:tc>
        <w:tc>
          <w:tcPr>
            <w:tcW w:w="4177" w:type="dxa"/>
            <w:vAlign w:val="center"/>
          </w:tcPr>
          <w:p w14:paraId="60D33C65" w14:textId="3C7B4AC1" w:rsidR="00837EA4" w:rsidRDefault="00837EA4" w:rsidP="000A0A3E">
            <w:pPr>
              <w:pStyle w:val="Akapitzlist"/>
              <w:spacing w:after="0" w:line="240" w:lineRule="auto"/>
              <w:ind w:left="284" w:righ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0A0A3E">
              <w:rPr>
                <w:rFonts w:asciiTheme="minorHAnsi" w:hAnsiTheme="minorHAnsi" w:cstheme="minorHAnsi"/>
                <w:sz w:val="22"/>
              </w:rPr>
              <w:t>Microsoft Windows Server 2019 Standar</w:t>
            </w:r>
            <w:r>
              <w:rPr>
                <w:rFonts w:asciiTheme="minorHAnsi" w:hAnsiTheme="minorHAnsi" w:cstheme="minorHAnsi"/>
                <w:sz w:val="22"/>
              </w:rPr>
              <w:t xml:space="preserve">d lub równoważny. </w:t>
            </w:r>
            <w:r w:rsidRPr="007823F0">
              <w:rPr>
                <w:rFonts w:asciiTheme="minorHAnsi" w:hAnsiTheme="minorHAnsi" w:cstheme="minorHAnsi"/>
                <w:color w:val="auto"/>
                <w:sz w:val="22"/>
              </w:rPr>
              <w:t>Należy dostarczyć odpowiednią ilość licencji na rdzenie, dostosowaną do zainstalowanych procesorów w serwer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ze. Licencje muszą umożliwić przypisanie ich do innego serwera nie rzadziej niż raz na 90 dni.</w:t>
            </w:r>
          </w:p>
        </w:tc>
        <w:tc>
          <w:tcPr>
            <w:tcW w:w="2887" w:type="dxa"/>
          </w:tcPr>
          <w:p w14:paraId="71FB89DE" w14:textId="16F0D0A8" w:rsidR="00837EA4" w:rsidRPr="000A0A3E" w:rsidRDefault="00A16F4F" w:rsidP="00A16F4F">
            <w:pPr>
              <w:pStyle w:val="Akapitzlist"/>
              <w:spacing w:after="0" w:line="240" w:lineRule="auto"/>
              <w:ind w:left="284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TAK/NIE</w:t>
            </w:r>
          </w:p>
        </w:tc>
      </w:tr>
    </w:tbl>
    <w:p w14:paraId="4916D63C" w14:textId="2F8175E7" w:rsidR="00596CF5" w:rsidRDefault="00596CF5"/>
    <w:p w14:paraId="1494F397" w14:textId="1D8E74B0" w:rsidR="00A16F4F" w:rsidRDefault="00A16F4F"/>
    <w:p w14:paraId="7D1F4A71" w14:textId="3477CE55" w:rsidR="00A16F4F" w:rsidRDefault="00A16F4F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A16F4F" w:rsidRPr="00C917BF" w14:paraId="05D11A3A" w14:textId="77777777" w:rsidTr="00327833">
        <w:tc>
          <w:tcPr>
            <w:tcW w:w="3066" w:type="dxa"/>
          </w:tcPr>
          <w:p w14:paraId="1529B42D" w14:textId="77777777" w:rsidR="00A16F4F" w:rsidRPr="00C917BF" w:rsidRDefault="00A16F4F" w:rsidP="003278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BF1E21C" w14:textId="77777777" w:rsidR="00A16F4F" w:rsidRPr="00C917BF" w:rsidRDefault="00A16F4F" w:rsidP="003278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097C3C1E" w14:textId="77777777" w:rsidR="00A16F4F" w:rsidRPr="00C917BF" w:rsidRDefault="00A16F4F" w:rsidP="003278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E1B0CC2" w14:textId="77777777" w:rsidR="00A16F4F" w:rsidRPr="00C917BF" w:rsidRDefault="00A16F4F" w:rsidP="003278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6EC561B7" w14:textId="77777777" w:rsidR="00A16F4F" w:rsidRPr="00C917BF" w:rsidRDefault="00A16F4F" w:rsidP="003278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5429168" w14:textId="77777777" w:rsidR="00A16F4F" w:rsidRPr="00C917BF" w:rsidRDefault="00A16F4F" w:rsidP="003278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3336153" w14:textId="77777777" w:rsidR="00A16F4F" w:rsidRDefault="00A16F4F"/>
    <w:sectPr w:rsidR="00A16F4F" w:rsidSect="00A16F4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56F83" w14:textId="77777777" w:rsidR="00837EA4" w:rsidRDefault="00837EA4" w:rsidP="00837EA4">
      <w:pPr>
        <w:spacing w:after="0" w:line="240" w:lineRule="auto"/>
      </w:pPr>
      <w:r>
        <w:separator/>
      </w:r>
    </w:p>
  </w:endnote>
  <w:endnote w:type="continuationSeparator" w:id="0">
    <w:p w14:paraId="5AB868F2" w14:textId="77777777" w:rsidR="00837EA4" w:rsidRDefault="00837EA4" w:rsidP="0083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675807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2C75C8" w14:textId="43548CA6" w:rsidR="00A16F4F" w:rsidRPr="00A16F4F" w:rsidRDefault="00A16F4F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A16F4F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A16F4F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A16F4F">
          <w:rPr>
            <w:sz w:val="18"/>
            <w:szCs w:val="18"/>
          </w:rPr>
          <w:instrText>PAGE    \* MERGEFORMAT</w:instrText>
        </w:r>
        <w:r w:rsidRPr="00A16F4F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A16F4F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A16F4F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AE44EC1" w14:textId="77777777" w:rsidR="00A16F4F" w:rsidRDefault="00A16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72A7" w14:textId="77777777" w:rsidR="00837EA4" w:rsidRDefault="00837EA4" w:rsidP="00837EA4">
      <w:pPr>
        <w:spacing w:after="0" w:line="240" w:lineRule="auto"/>
      </w:pPr>
      <w:r>
        <w:separator/>
      </w:r>
    </w:p>
  </w:footnote>
  <w:footnote w:type="continuationSeparator" w:id="0">
    <w:p w14:paraId="73F29AFA" w14:textId="77777777" w:rsidR="00837EA4" w:rsidRDefault="00837EA4" w:rsidP="0083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5F6" w14:textId="4850A4DC" w:rsidR="00837EA4" w:rsidRDefault="00837EA4">
    <w:pPr>
      <w:pStyle w:val="Nagwek"/>
      <w:rPr>
        <w:sz w:val="20"/>
        <w:szCs w:val="20"/>
      </w:rPr>
    </w:pPr>
    <w:r w:rsidRPr="00837EA4">
      <w:rPr>
        <w:sz w:val="20"/>
        <w:szCs w:val="20"/>
      </w:rPr>
      <w:t>Znak sprawy:PDZP-26/P-151/21</w:t>
    </w:r>
    <w:r w:rsidR="00A16F4F">
      <w:rPr>
        <w:sz w:val="20"/>
        <w:szCs w:val="20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C9CB" w14:textId="77777777" w:rsidR="00A16F4F" w:rsidRDefault="00A16F4F" w:rsidP="00A16F4F">
    <w:pPr>
      <w:pStyle w:val="Nagwek"/>
      <w:rPr>
        <w:sz w:val="20"/>
        <w:szCs w:val="20"/>
      </w:rPr>
    </w:pPr>
    <w:r w:rsidRPr="00837EA4">
      <w:rPr>
        <w:sz w:val="20"/>
        <w:szCs w:val="20"/>
      </w:rPr>
      <w:t>Znak sprawy:PDZP-26/P-151/21</w:t>
    </w:r>
    <w:r>
      <w:rPr>
        <w:sz w:val="20"/>
        <w:szCs w:val="20"/>
      </w:rPr>
      <w:t xml:space="preserve">                           </w:t>
    </w:r>
  </w:p>
  <w:p w14:paraId="6BD3DF0C" w14:textId="77777777" w:rsidR="00A16F4F" w:rsidRDefault="00A16F4F" w:rsidP="00A16F4F">
    <w:pPr>
      <w:pStyle w:val="Nagwek"/>
      <w:jc w:val="left"/>
      <w:rPr>
        <w:szCs w:val="24"/>
      </w:rPr>
    </w:pPr>
  </w:p>
  <w:p w14:paraId="2B604012" w14:textId="19ABB88E" w:rsidR="00A16F4F" w:rsidRPr="00A16F4F" w:rsidRDefault="00A16F4F" w:rsidP="00A16F4F">
    <w:pPr>
      <w:pStyle w:val="Nagwek"/>
      <w:jc w:val="center"/>
      <w:rPr>
        <w:b/>
        <w:bCs/>
        <w:szCs w:val="24"/>
      </w:rPr>
    </w:pPr>
    <w:r w:rsidRPr="00A16F4F">
      <w:rPr>
        <w:b/>
        <w:bCs/>
        <w:szCs w:val="24"/>
      </w:rPr>
      <w:t>Załącznik nr 2A-Opis przedmiotu zamówienia</w:t>
    </w:r>
  </w:p>
  <w:p w14:paraId="79A87C5E" w14:textId="77777777" w:rsidR="00A16F4F" w:rsidRDefault="00A16F4F" w:rsidP="00A16F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D24"/>
    <w:multiLevelType w:val="hybridMultilevel"/>
    <w:tmpl w:val="B2B68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893"/>
    <w:multiLevelType w:val="multilevel"/>
    <w:tmpl w:val="1458BE76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1EEF6A8B"/>
    <w:multiLevelType w:val="hybridMultilevel"/>
    <w:tmpl w:val="0EA6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3199"/>
    <w:multiLevelType w:val="hybridMultilevel"/>
    <w:tmpl w:val="FADC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5FFD"/>
    <w:multiLevelType w:val="hybridMultilevel"/>
    <w:tmpl w:val="0EA6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14097"/>
    <w:multiLevelType w:val="hybridMultilevel"/>
    <w:tmpl w:val="1CB0117C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6D86"/>
    <w:multiLevelType w:val="hybridMultilevel"/>
    <w:tmpl w:val="01243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C5A4E"/>
    <w:multiLevelType w:val="hybridMultilevel"/>
    <w:tmpl w:val="106C64F8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1B70"/>
    <w:multiLevelType w:val="hybridMultilevel"/>
    <w:tmpl w:val="AD98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3201C"/>
    <w:multiLevelType w:val="hybridMultilevel"/>
    <w:tmpl w:val="166A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B2E42"/>
    <w:multiLevelType w:val="hybridMultilevel"/>
    <w:tmpl w:val="447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E61B4"/>
    <w:multiLevelType w:val="hybridMultilevel"/>
    <w:tmpl w:val="EFAC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69"/>
    <w:rsid w:val="000338D4"/>
    <w:rsid w:val="000A0A3E"/>
    <w:rsid w:val="00410D21"/>
    <w:rsid w:val="00511529"/>
    <w:rsid w:val="00563B68"/>
    <w:rsid w:val="00596CF5"/>
    <w:rsid w:val="006779B4"/>
    <w:rsid w:val="00726EE1"/>
    <w:rsid w:val="00837EA4"/>
    <w:rsid w:val="00875ED5"/>
    <w:rsid w:val="008808F7"/>
    <w:rsid w:val="00A16F4F"/>
    <w:rsid w:val="00AC547A"/>
    <w:rsid w:val="00AC5789"/>
    <w:rsid w:val="00B628FA"/>
    <w:rsid w:val="00CC46F2"/>
    <w:rsid w:val="00D96A90"/>
    <w:rsid w:val="00DA1B8C"/>
    <w:rsid w:val="00E4180D"/>
    <w:rsid w:val="00F173D6"/>
    <w:rsid w:val="00F27C37"/>
    <w:rsid w:val="00F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FF8F"/>
  <w15:chartTrackingRefBased/>
  <w15:docId w15:val="{A90FF6BA-2C8D-4F69-A349-A3E4E3E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69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51E69"/>
    <w:pPr>
      <w:keepNext/>
      <w:keepLines/>
      <w:numPr>
        <w:numId w:val="1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F51E69"/>
    <w:pPr>
      <w:keepNext/>
      <w:keepLines/>
      <w:numPr>
        <w:ilvl w:val="1"/>
        <w:numId w:val="1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E69"/>
    <w:pPr>
      <w:keepNext/>
      <w:keepLines/>
      <w:numPr>
        <w:ilvl w:val="2"/>
        <w:numId w:val="1"/>
      </w:numPr>
      <w:spacing w:before="240" w:after="120" w:line="360" w:lineRule="auto"/>
      <w:ind w:right="0"/>
      <w:jc w:val="left"/>
      <w:outlineLvl w:val="2"/>
    </w:pPr>
    <w:rPr>
      <w:rFonts w:asciiTheme="minorHAnsi" w:eastAsiaTheme="majorEastAsia" w:hAnsiTheme="minorHAnsi" w:cstheme="minorHAnsi"/>
      <w:b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1E69"/>
    <w:rPr>
      <w:rFonts w:eastAsia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1E69"/>
    <w:rPr>
      <w:rFonts w:ascii="Calibri" w:eastAsia="Times New Roman" w:hAnsi="Calibri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51E69"/>
    <w:rPr>
      <w:rFonts w:eastAsiaTheme="majorEastAsia" w:cstheme="minorHAnsi"/>
      <w:b/>
      <w:sz w:val="24"/>
      <w:szCs w:val="24"/>
      <w:lang w:eastAsia="pl-PL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F51E6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F51E69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has-pretty-child">
    <w:name w:val="has-pretty-child"/>
    <w:basedOn w:val="Domylnaczcionkaakapitu"/>
    <w:rsid w:val="00AC547A"/>
  </w:style>
  <w:style w:type="paragraph" w:styleId="Nagwek">
    <w:name w:val="header"/>
    <w:basedOn w:val="Normalny"/>
    <w:link w:val="NagwekZnak"/>
    <w:uiPriority w:val="99"/>
    <w:unhideWhenUsed/>
    <w:rsid w:val="0083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EA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A4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38BD-3822-4CE0-970F-412C0F67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Marzena Wacławik</cp:lastModifiedBy>
  <cp:revision>5</cp:revision>
  <cp:lastPrinted>2021-09-30T08:22:00Z</cp:lastPrinted>
  <dcterms:created xsi:type="dcterms:W3CDTF">2021-09-29T07:08:00Z</dcterms:created>
  <dcterms:modified xsi:type="dcterms:W3CDTF">2021-09-30T08:24:00Z</dcterms:modified>
</cp:coreProperties>
</file>